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22E86" w14:textId="7246ED34" w:rsidR="00355C86" w:rsidRPr="004D3891" w:rsidRDefault="007A58EC" w:rsidP="004D3891">
      <w:pPr>
        <w:pStyle w:val="Masthead"/>
      </w:pPr>
      <w:r w:rsidRPr="004D3891">
        <w:t>Reckon LLP e</w:t>
      </w:r>
      <w:r w:rsidR="00677898" w:rsidRPr="004D3891">
        <w:t>lectricity c</w:t>
      </w:r>
      <w:r w:rsidR="0095680E" w:rsidRPr="004D3891">
        <w:t>ustomer</w:t>
      </w:r>
      <w:r w:rsidR="00355C86" w:rsidRPr="004D3891">
        <w:t xml:space="preserve"> alert</w:t>
      </w:r>
      <w:r w:rsidR="00355C86" w:rsidRPr="004D3891">
        <w:tab/>
        <w:t xml:space="preserve">DCP </w:t>
      </w:r>
      <w:r w:rsidR="00825B61">
        <w:t>179</w:t>
      </w:r>
      <w:r w:rsidR="00992466" w:rsidRPr="004D3891">
        <w:t xml:space="preserve"> — </w:t>
      </w:r>
      <w:r w:rsidR="00616C2F" w:rsidRPr="00AB6F30">
        <w:fldChar w:fldCharType="begin"/>
      </w:r>
      <w:r w:rsidR="00616C2F" w:rsidRPr="00AB6F30">
        <w:instrText xml:space="preserve"> SAVEDATE \@ "d MMMM yyyy" </w:instrText>
      </w:r>
      <w:r w:rsidR="00616C2F" w:rsidRPr="00AB6F30">
        <w:fldChar w:fldCharType="separate"/>
      </w:r>
      <w:r w:rsidR="004E3DEA">
        <w:rPr>
          <w:noProof/>
        </w:rPr>
        <w:t>11 June 2014</w:t>
      </w:r>
      <w:r w:rsidR="00616C2F" w:rsidRPr="00AB6F30">
        <w:fldChar w:fldCharType="end"/>
      </w:r>
    </w:p>
    <w:p w14:paraId="5502D74D" w14:textId="0C33C335" w:rsidR="009F50F0" w:rsidRPr="00355C86" w:rsidRDefault="00825B61" w:rsidP="00825B61">
      <w:pPr>
        <w:pStyle w:val="Heading1"/>
        <w:numPr>
          <w:ilvl w:val="0"/>
          <w:numId w:val="3"/>
        </w:numPr>
        <w:tabs>
          <w:tab w:val="right" w:pos="9000"/>
        </w:tabs>
        <w:spacing w:after="240"/>
        <w:rPr>
          <w:rFonts w:ascii="Arial" w:hAnsi="Arial"/>
          <w:b/>
          <w:color w:val="auto"/>
          <w:szCs w:val="24"/>
        </w:rPr>
      </w:pPr>
      <w:r>
        <w:rPr>
          <w:rFonts w:ascii="Arial" w:hAnsi="Arial"/>
          <w:b/>
          <w:color w:val="auto"/>
          <w:szCs w:val="24"/>
        </w:rPr>
        <w:t>Consultation on future network charges for elective half hourly metered customers and customers with advanced metering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36"/>
        <w:gridCol w:w="2160"/>
        <w:gridCol w:w="236"/>
        <w:gridCol w:w="2160"/>
        <w:gridCol w:w="236"/>
        <w:gridCol w:w="2160"/>
      </w:tblGrid>
      <w:tr w:rsidR="00645813" w:rsidRPr="008137C8" w14:paraId="53FA1485" w14:textId="77777777" w:rsidTr="00645813">
        <w:trPr>
          <w:jc w:val="center"/>
        </w:trPr>
        <w:tc>
          <w:tcPr>
            <w:tcW w:w="2160" w:type="dxa"/>
            <w:shd w:val="clear" w:color="auto" w:fill="DAEEF3" w:themeFill="accent5" w:themeFillTint="33"/>
            <w:vAlign w:val="bottom"/>
          </w:tcPr>
          <w:p w14:paraId="39E29017" w14:textId="623F8671" w:rsidR="00645813" w:rsidRPr="00616E88" w:rsidRDefault="00645813" w:rsidP="00B06763">
            <w:pPr>
              <w:pStyle w:val="Table"/>
              <w:jc w:val="center"/>
              <w:rPr>
                <w:b/>
                <w:sz w:val="20"/>
              </w:rPr>
            </w:pPr>
            <w:r w:rsidRPr="00616E88">
              <w:rPr>
                <w:b/>
                <w:sz w:val="20"/>
              </w:rPr>
              <w:t>Domestic customers</w:t>
            </w:r>
          </w:p>
        </w:tc>
        <w:tc>
          <w:tcPr>
            <w:tcW w:w="0" w:type="dxa"/>
            <w:shd w:val="clear" w:color="auto" w:fill="auto"/>
          </w:tcPr>
          <w:p w14:paraId="085F30D4" w14:textId="77777777" w:rsidR="00645813" w:rsidRPr="00616E88" w:rsidRDefault="00645813" w:rsidP="00B06763">
            <w:pPr>
              <w:pStyle w:val="Table"/>
              <w:jc w:val="center"/>
              <w:rPr>
                <w:b/>
                <w:sz w:val="20"/>
              </w:rPr>
            </w:pPr>
          </w:p>
        </w:tc>
        <w:tc>
          <w:tcPr>
            <w:tcW w:w="2160" w:type="dxa"/>
            <w:shd w:val="clear" w:color="auto" w:fill="EAF1DD" w:themeFill="accent3" w:themeFillTint="33"/>
            <w:vAlign w:val="bottom"/>
          </w:tcPr>
          <w:p w14:paraId="43BE8305" w14:textId="15AF7D1B" w:rsidR="00645813" w:rsidRPr="00616E88" w:rsidRDefault="00645813" w:rsidP="00B06763">
            <w:pPr>
              <w:pStyle w:val="Table"/>
              <w:jc w:val="center"/>
              <w:rPr>
                <w:b/>
                <w:sz w:val="20"/>
              </w:rPr>
            </w:pPr>
            <w:r w:rsidRPr="00616E88">
              <w:rPr>
                <w:b/>
                <w:sz w:val="20"/>
              </w:rPr>
              <w:t>Non half hourly</w:t>
            </w:r>
            <w:r>
              <w:rPr>
                <w:b/>
                <w:sz w:val="20"/>
              </w:rPr>
              <w:t xml:space="preserve"> business customers</w:t>
            </w:r>
          </w:p>
        </w:tc>
        <w:tc>
          <w:tcPr>
            <w:tcW w:w="0" w:type="dxa"/>
            <w:shd w:val="clear" w:color="auto" w:fill="auto"/>
          </w:tcPr>
          <w:p w14:paraId="7373D6D7" w14:textId="77777777" w:rsidR="00645813" w:rsidRPr="00616E88" w:rsidRDefault="00645813" w:rsidP="00B06763">
            <w:pPr>
              <w:pStyle w:val="Table"/>
              <w:jc w:val="center"/>
              <w:rPr>
                <w:b/>
                <w:sz w:val="20"/>
              </w:rPr>
            </w:pPr>
          </w:p>
        </w:tc>
        <w:tc>
          <w:tcPr>
            <w:tcW w:w="2160" w:type="dxa"/>
            <w:shd w:val="clear" w:color="auto" w:fill="FDE9D9" w:themeFill="accent6" w:themeFillTint="33"/>
            <w:vAlign w:val="bottom"/>
          </w:tcPr>
          <w:p w14:paraId="7EB52749" w14:textId="49198799" w:rsidR="00645813" w:rsidRPr="00616E88" w:rsidRDefault="00645813" w:rsidP="00B06763">
            <w:pPr>
              <w:pStyle w:val="Table"/>
              <w:jc w:val="center"/>
              <w:rPr>
                <w:b/>
                <w:sz w:val="20"/>
              </w:rPr>
            </w:pPr>
            <w:r w:rsidRPr="00616E88">
              <w:rPr>
                <w:b/>
                <w:sz w:val="20"/>
              </w:rPr>
              <w:t>Half hourly CDCM</w:t>
            </w:r>
            <w:r>
              <w:rPr>
                <w:b/>
                <w:sz w:val="20"/>
              </w:rPr>
              <w:t xml:space="preserve"> business customers</w:t>
            </w:r>
          </w:p>
        </w:tc>
        <w:tc>
          <w:tcPr>
            <w:tcW w:w="0" w:type="dxa"/>
            <w:shd w:val="clear" w:color="auto" w:fill="auto"/>
          </w:tcPr>
          <w:p w14:paraId="4C51E395" w14:textId="77777777" w:rsidR="00645813" w:rsidRPr="00616E88" w:rsidRDefault="00645813" w:rsidP="00B06763">
            <w:pPr>
              <w:pStyle w:val="Table"/>
              <w:jc w:val="center"/>
              <w:rPr>
                <w:b/>
                <w:sz w:val="20"/>
              </w:rPr>
            </w:pPr>
          </w:p>
        </w:tc>
        <w:tc>
          <w:tcPr>
            <w:tcW w:w="2160" w:type="dxa"/>
            <w:shd w:val="clear" w:color="auto" w:fill="E5DFEC" w:themeFill="accent4" w:themeFillTint="33"/>
            <w:vAlign w:val="bottom"/>
          </w:tcPr>
          <w:p w14:paraId="06B11EDF" w14:textId="06963A94" w:rsidR="00645813" w:rsidRPr="00616E88" w:rsidRDefault="00645813" w:rsidP="00B06763">
            <w:pPr>
              <w:pStyle w:val="Table"/>
              <w:jc w:val="center"/>
              <w:rPr>
                <w:b/>
                <w:sz w:val="20"/>
              </w:rPr>
            </w:pPr>
            <w:r w:rsidRPr="00616E88">
              <w:rPr>
                <w:b/>
                <w:sz w:val="20"/>
              </w:rPr>
              <w:t>Site-specific EDCM</w:t>
            </w:r>
            <w:r>
              <w:rPr>
                <w:b/>
                <w:sz w:val="20"/>
              </w:rPr>
              <w:t xml:space="preserve"> business customers</w:t>
            </w:r>
          </w:p>
        </w:tc>
      </w:tr>
      <w:tr w:rsidR="00645813" w:rsidRPr="008137C8" w14:paraId="7FB8AB72" w14:textId="77777777" w:rsidTr="00645813">
        <w:trPr>
          <w:trHeight w:val="548"/>
          <w:jc w:val="center"/>
        </w:trPr>
        <w:tc>
          <w:tcPr>
            <w:tcW w:w="2160" w:type="dxa"/>
            <w:shd w:val="clear" w:color="auto" w:fill="DAEEF3" w:themeFill="accent5" w:themeFillTint="33"/>
          </w:tcPr>
          <w:p w14:paraId="3BF22568" w14:textId="77EAAEA5" w:rsidR="00645813" w:rsidRPr="00616E88" w:rsidRDefault="00645813" w:rsidP="00ED53D0">
            <w:pPr>
              <w:pStyle w:val="Table"/>
              <w:jc w:val="center"/>
              <w:rPr>
                <w:b/>
                <w:sz w:val="20"/>
              </w:rPr>
            </w:pPr>
            <w:r w:rsidRPr="00616E88">
              <w:rPr>
                <w:b/>
                <w:noProof/>
                <w:sz w:val="20"/>
                <w:lang w:val="en-US" w:bidi="ar-SA"/>
              </w:rPr>
              <w:drawing>
                <wp:inline distT="0" distB="0" distL="0" distR="0" wp14:anchorId="0D08DAB8" wp14:editId="27BB7ADE">
                  <wp:extent cx="457200" cy="457200"/>
                  <wp:effectExtent l="0" t="0" r="0" b="0"/>
                  <wp:docPr id="7" name="Picture 7" descr="Macintosh HD:Users:franck:Documents:Blue Badger:DCPs &amp; alert:Weather symbols:Symbol 2 (sun 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franck:Documents:Blue Badger:DCPs &amp; alert:Weather symbols:Symbol 2 (sun clou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391E09F" w14:textId="575FEC47" w:rsidR="00645813" w:rsidRPr="00616E88" w:rsidRDefault="00825B61" w:rsidP="00FE6614">
            <w:pPr>
              <w:pStyle w:val="Table"/>
              <w:jc w:val="center"/>
              <w:rPr>
                <w:b/>
                <w:sz w:val="20"/>
              </w:rPr>
            </w:pPr>
            <w:r>
              <w:rPr>
                <w:b/>
                <w:sz w:val="20"/>
              </w:rPr>
              <w:t>Better access to smart metering</w:t>
            </w:r>
            <w:r w:rsidR="00FE6614">
              <w:rPr>
                <w:b/>
                <w:sz w:val="20"/>
              </w:rPr>
              <w:t xml:space="preserve">, but potential </w:t>
            </w:r>
            <w:r>
              <w:rPr>
                <w:b/>
                <w:sz w:val="20"/>
              </w:rPr>
              <w:t>adverse impact on elective half hourly customers</w:t>
            </w:r>
          </w:p>
        </w:tc>
        <w:tc>
          <w:tcPr>
            <w:tcW w:w="0" w:type="dxa"/>
            <w:shd w:val="clear" w:color="auto" w:fill="auto"/>
          </w:tcPr>
          <w:p w14:paraId="401B3ABA" w14:textId="77777777" w:rsidR="00645813" w:rsidRPr="000C4B10" w:rsidRDefault="00645813" w:rsidP="009F50F0">
            <w:pPr>
              <w:pStyle w:val="Table"/>
              <w:jc w:val="center"/>
              <w:rPr>
                <w:rFonts w:ascii="Arial Black" w:hAnsi="Arial Black"/>
                <w:noProof/>
                <w:lang w:val="en-US" w:bidi="ar-SA"/>
              </w:rPr>
            </w:pPr>
          </w:p>
        </w:tc>
        <w:tc>
          <w:tcPr>
            <w:tcW w:w="2160" w:type="dxa"/>
            <w:shd w:val="clear" w:color="auto" w:fill="EAF1DD" w:themeFill="accent3" w:themeFillTint="33"/>
          </w:tcPr>
          <w:p w14:paraId="6A1725C4" w14:textId="127CFF34" w:rsidR="00645813" w:rsidRPr="00616E88" w:rsidRDefault="00825B61" w:rsidP="009F50F0">
            <w:pPr>
              <w:pStyle w:val="Table"/>
              <w:jc w:val="center"/>
              <w:rPr>
                <w:b/>
                <w:sz w:val="20"/>
              </w:rPr>
            </w:pPr>
            <w:r w:rsidRPr="00616E88">
              <w:rPr>
                <w:b/>
                <w:noProof/>
                <w:sz w:val="20"/>
                <w:lang w:val="en-US" w:bidi="ar-SA"/>
              </w:rPr>
              <w:drawing>
                <wp:inline distT="0" distB="0" distL="0" distR="0" wp14:anchorId="6057299B" wp14:editId="0AE41699">
                  <wp:extent cx="457200" cy="457200"/>
                  <wp:effectExtent l="0" t="0" r="0" b="0"/>
                  <wp:docPr id="2" name="Picture 2"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7D44CB6" w14:textId="52CB6E0A" w:rsidR="00645813" w:rsidRPr="00616E88" w:rsidRDefault="00FE6614" w:rsidP="00FE6614">
            <w:pPr>
              <w:pStyle w:val="Table"/>
              <w:jc w:val="center"/>
              <w:rPr>
                <w:b/>
                <w:sz w:val="20"/>
              </w:rPr>
            </w:pPr>
            <w:r>
              <w:rPr>
                <w:b/>
                <w:sz w:val="20"/>
              </w:rPr>
              <w:t>Better access to smart metering (a</w:t>
            </w:r>
            <w:r w:rsidR="00825B61">
              <w:rPr>
                <w:b/>
                <w:sz w:val="20"/>
              </w:rPr>
              <w:t xml:space="preserve">voids adverse impact </w:t>
            </w:r>
            <w:r>
              <w:rPr>
                <w:b/>
                <w:sz w:val="20"/>
              </w:rPr>
              <w:t>of half hourly settlement on network charges)</w:t>
            </w:r>
          </w:p>
        </w:tc>
        <w:tc>
          <w:tcPr>
            <w:tcW w:w="0" w:type="dxa"/>
            <w:shd w:val="clear" w:color="auto" w:fill="auto"/>
          </w:tcPr>
          <w:p w14:paraId="02ECE74C" w14:textId="77777777" w:rsidR="00645813" w:rsidRPr="00616E88" w:rsidRDefault="00645813" w:rsidP="00ED53D0">
            <w:pPr>
              <w:pStyle w:val="Table"/>
              <w:jc w:val="center"/>
              <w:rPr>
                <w:b/>
                <w:noProof/>
                <w:sz w:val="20"/>
                <w:lang w:val="en-US" w:bidi="ar-SA"/>
              </w:rPr>
            </w:pPr>
          </w:p>
        </w:tc>
        <w:tc>
          <w:tcPr>
            <w:tcW w:w="2160" w:type="dxa"/>
            <w:shd w:val="clear" w:color="auto" w:fill="FDE9D9" w:themeFill="accent6" w:themeFillTint="33"/>
          </w:tcPr>
          <w:p w14:paraId="068FD6B6" w14:textId="277CDDFE" w:rsidR="00645813" w:rsidRPr="00616E88" w:rsidRDefault="00825B61" w:rsidP="00ED53D0">
            <w:pPr>
              <w:pStyle w:val="Table"/>
              <w:jc w:val="center"/>
              <w:rPr>
                <w:b/>
                <w:sz w:val="20"/>
              </w:rPr>
            </w:pPr>
            <w:r w:rsidRPr="008B1DF3">
              <w:rPr>
                <w:noProof/>
                <w:lang w:val="en-US" w:bidi="ar-SA"/>
              </w:rPr>
              <w:drawing>
                <wp:inline distT="0" distB="0" distL="0" distR="0" wp14:anchorId="74123956" wp14:editId="7A2E85C9">
                  <wp:extent cx="457200" cy="457200"/>
                  <wp:effectExtent l="0" t="0" r="0" b="0"/>
                  <wp:docPr id="5" name="Picture 5" descr="Macintosh HD:Users:franck:Documents:Blue Badger:DCPs &amp; alert:Weather symbols:Symbol 4 (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franck:Documents:Blue Badger:DCPs &amp; alert:Weather symbols:Symbol 4 (ra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17320" w:rsidRPr="00616E88">
              <w:rPr>
                <w:b/>
                <w:noProof/>
                <w:sz w:val="20"/>
                <w:lang w:val="en-US" w:bidi="ar-SA"/>
              </w:rPr>
              <w:drawing>
                <wp:inline distT="0" distB="0" distL="0" distR="0" wp14:anchorId="7C5D33EF" wp14:editId="1E9E4FC9">
                  <wp:extent cx="457200" cy="457200"/>
                  <wp:effectExtent l="0" t="0" r="0" b="0"/>
                  <wp:docPr id="1" name="Picture 1"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72CA981" w14:textId="3A67A484" w:rsidR="00645813" w:rsidRPr="00616E88" w:rsidRDefault="00825B61" w:rsidP="009F50F0">
            <w:pPr>
              <w:pStyle w:val="Table"/>
              <w:jc w:val="center"/>
              <w:rPr>
                <w:b/>
                <w:sz w:val="20"/>
              </w:rPr>
            </w:pPr>
            <w:r>
              <w:rPr>
                <w:b/>
                <w:sz w:val="20"/>
              </w:rPr>
              <w:t xml:space="preserve">Potential adverse impact on </w:t>
            </w:r>
            <w:r w:rsidR="00E17320">
              <w:rPr>
                <w:b/>
                <w:sz w:val="20"/>
              </w:rPr>
              <w:t xml:space="preserve">some </w:t>
            </w:r>
            <w:r>
              <w:rPr>
                <w:b/>
                <w:sz w:val="20"/>
              </w:rPr>
              <w:t>elective half hourly customers</w:t>
            </w:r>
          </w:p>
        </w:tc>
        <w:tc>
          <w:tcPr>
            <w:tcW w:w="0" w:type="dxa"/>
            <w:shd w:val="clear" w:color="auto" w:fill="auto"/>
          </w:tcPr>
          <w:p w14:paraId="6C86DB67" w14:textId="77777777" w:rsidR="00645813" w:rsidRPr="00616E88" w:rsidRDefault="00645813" w:rsidP="009F50F0">
            <w:pPr>
              <w:pStyle w:val="Table"/>
              <w:jc w:val="center"/>
              <w:rPr>
                <w:b/>
                <w:noProof/>
                <w:sz w:val="20"/>
                <w:lang w:val="en-US" w:bidi="ar-SA"/>
              </w:rPr>
            </w:pPr>
          </w:p>
        </w:tc>
        <w:tc>
          <w:tcPr>
            <w:tcW w:w="2160" w:type="dxa"/>
            <w:shd w:val="clear" w:color="auto" w:fill="E5DFEC" w:themeFill="accent4" w:themeFillTint="33"/>
          </w:tcPr>
          <w:p w14:paraId="54CBC094" w14:textId="7C949E39" w:rsidR="00645813" w:rsidRPr="00616E88" w:rsidRDefault="00645813" w:rsidP="009F50F0">
            <w:pPr>
              <w:pStyle w:val="Table"/>
              <w:jc w:val="center"/>
              <w:rPr>
                <w:b/>
                <w:sz w:val="20"/>
              </w:rPr>
            </w:pPr>
            <w:r w:rsidRPr="00616E88">
              <w:rPr>
                <w:b/>
                <w:noProof/>
                <w:sz w:val="20"/>
                <w:lang w:val="en-US" w:bidi="ar-SA"/>
              </w:rPr>
              <w:drawing>
                <wp:inline distT="0" distB="0" distL="0" distR="0" wp14:anchorId="003C9F3A" wp14:editId="30B5180A">
                  <wp:extent cx="457200" cy="457200"/>
                  <wp:effectExtent l="0" t="0" r="0" b="0"/>
                  <wp:docPr id="6" name="Picture 6"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422E27C6" w14:textId="636355B8" w:rsidR="00645813" w:rsidRPr="00616E88" w:rsidRDefault="00645813" w:rsidP="009F50F0">
            <w:pPr>
              <w:pStyle w:val="Table"/>
              <w:jc w:val="center"/>
              <w:rPr>
                <w:b/>
                <w:sz w:val="20"/>
              </w:rPr>
            </w:pPr>
            <w:r w:rsidRPr="00616E88">
              <w:rPr>
                <w:b/>
                <w:sz w:val="20"/>
              </w:rPr>
              <w:t>No impact</w:t>
            </w:r>
          </w:p>
        </w:tc>
      </w:tr>
    </w:tbl>
    <w:p w14:paraId="3649AA61" w14:textId="116D8A64" w:rsidR="00CD59B8" w:rsidRPr="008137C8" w:rsidRDefault="00CD59B8" w:rsidP="00A5429F">
      <w:pPr>
        <w:pStyle w:val="TableLastNote"/>
      </w:pPr>
    </w:p>
    <w:p w14:paraId="66918682" w14:textId="681A0F60" w:rsidR="00A5429F" w:rsidRDefault="00677898" w:rsidP="00B06763">
      <w:pPr>
        <w:pStyle w:val="Text"/>
      </w:pPr>
      <w:r w:rsidRPr="00D62425">
        <w:t xml:space="preserve">This </w:t>
      </w:r>
      <w:r w:rsidR="00D62425" w:rsidRPr="00D62425">
        <w:t xml:space="preserve">alert </w:t>
      </w:r>
      <w:r w:rsidRPr="00D62425">
        <w:t xml:space="preserve">is </w:t>
      </w:r>
      <w:r w:rsidR="00D62425" w:rsidRPr="00D62425">
        <w:t>about</w:t>
      </w:r>
      <w:r w:rsidR="00D62425">
        <w:t xml:space="preserve"> </w:t>
      </w:r>
      <w:r>
        <w:t xml:space="preserve">a proposal of the electricity industry to </w:t>
      </w:r>
      <w:r w:rsidR="00825B61">
        <w:t xml:space="preserve">introduce new arrangements for </w:t>
      </w:r>
      <w:r w:rsidR="00645813">
        <w:t xml:space="preserve">network charges for use of the distribution network </w:t>
      </w:r>
      <w:r>
        <w:t>from 1 April 2015.</w:t>
      </w:r>
      <w:r w:rsidR="00B06763">
        <w:t xml:space="preserve"> </w:t>
      </w:r>
      <w:r w:rsidR="009F50F0">
        <w:t xml:space="preserve"> </w:t>
      </w:r>
      <w:r w:rsidR="00FB3676">
        <w:t xml:space="preserve">The proposal </w:t>
      </w:r>
      <w:r w:rsidR="00825B61">
        <w:t xml:space="preserve">includes the removal of customer choice from customers </w:t>
      </w:r>
      <w:r w:rsidR="00FB3676">
        <w:t xml:space="preserve">would lead to </w:t>
      </w:r>
      <w:r w:rsidR="00645813">
        <w:t xml:space="preserve">a significant increase in the charges applied to off-peak </w:t>
      </w:r>
      <w:r w:rsidR="00A5429F">
        <w:t>use.</w:t>
      </w:r>
    </w:p>
    <w:p w14:paraId="1A6068C7" w14:textId="3F5D954C" w:rsidR="00B06763" w:rsidRPr="005514A8" w:rsidRDefault="007F4420" w:rsidP="00B06763">
      <w:pPr>
        <w:pStyle w:val="Text"/>
      </w:pPr>
      <w:r>
        <w:t>A short</w:t>
      </w:r>
      <w:r w:rsidR="00645813" w:rsidRPr="005514A8">
        <w:t xml:space="preserve"> i</w:t>
      </w:r>
      <w:r w:rsidR="006A4E0E" w:rsidRPr="005514A8">
        <w:t xml:space="preserve">ndustry consultation </w:t>
      </w:r>
      <w:r w:rsidR="005514A8" w:rsidRPr="005514A8">
        <w:t>closes on Thursday 19 June 2014</w:t>
      </w:r>
      <w:r w:rsidR="007A58EC" w:rsidRPr="005514A8">
        <w:t>.</w:t>
      </w:r>
    </w:p>
    <w:p w14:paraId="7B85CD8F" w14:textId="77777777" w:rsidR="007F4420" w:rsidRDefault="007F4420" w:rsidP="007F4420">
      <w:pPr>
        <w:pStyle w:val="Heading2"/>
      </w:pPr>
      <w:r>
        <w:t>What is the proposed change about?</w:t>
      </w:r>
    </w:p>
    <w:p w14:paraId="572BE1E8" w14:textId="0D28B4BA" w:rsidR="007F4420" w:rsidRDefault="007F4420" w:rsidP="007F4420">
      <w:pPr>
        <w:pStyle w:val="Text"/>
        <w:numPr>
          <w:ilvl w:val="1"/>
          <w:numId w:val="3"/>
        </w:numPr>
      </w:pPr>
      <w:r>
        <w:t>Distribution Network Operators (DNOs) are distinct from suppliers.  DNOs run networks and charge suppliers for their use; suppliers recover the costs from users, sometimes explicitly, sometimes as part of a bundled supply tariff.</w:t>
      </w:r>
    </w:p>
    <w:p w14:paraId="42CFC105" w14:textId="77D081CA" w:rsidR="007F4420" w:rsidRDefault="007F4420" w:rsidP="007F4420">
      <w:pPr>
        <w:pStyle w:val="Text"/>
        <w:numPr>
          <w:ilvl w:val="1"/>
          <w:numId w:val="3"/>
        </w:numPr>
      </w:pPr>
      <w:r>
        <w:t xml:space="preserve">Currently, DNOs apply different tariff structures to customers whose electricity is supplied on the basis of half hourly metering and those who are </w:t>
      </w:r>
      <w:proofErr w:type="gramStart"/>
      <w:r>
        <w:t>non half</w:t>
      </w:r>
      <w:proofErr w:type="gramEnd"/>
      <w:r>
        <w:t xml:space="preserve"> hourly settled.  Half hourly distribution tariffs include separate charges for Maximum Import Capacity (kVA) and for excess reactive power (</w:t>
      </w:r>
      <w:proofErr w:type="spellStart"/>
      <w:r>
        <w:t>kVArh</w:t>
      </w:r>
      <w:proofErr w:type="spellEnd"/>
      <w:r>
        <w:t xml:space="preserve">).  </w:t>
      </w:r>
      <w:proofErr w:type="gramStart"/>
      <w:r>
        <w:t>Non half</w:t>
      </w:r>
      <w:proofErr w:type="gramEnd"/>
      <w:r>
        <w:t xml:space="preserve"> hourly distribution tariffs do not have </w:t>
      </w:r>
      <w:r w:rsidR="00FE64E5">
        <w:t>capacity and reactive power</w:t>
      </w:r>
      <w:r>
        <w:t xml:space="preserve"> charges, </w:t>
      </w:r>
      <w:r w:rsidR="00FE64E5">
        <w:t xml:space="preserve">but </w:t>
      </w:r>
      <w:r>
        <w:t>their fixed charges and unit rates tend to be higher (on aggregate over an average load profile).</w:t>
      </w:r>
    </w:p>
    <w:p w14:paraId="7D1AD389" w14:textId="6C4BDBC0" w:rsidR="00D254EB" w:rsidRDefault="007F4420" w:rsidP="00D254EB">
      <w:pPr>
        <w:pStyle w:val="Text"/>
        <w:numPr>
          <w:ilvl w:val="1"/>
          <w:numId w:val="3"/>
        </w:numPr>
      </w:pPr>
      <w:r>
        <w:t xml:space="preserve">The proposal </w:t>
      </w:r>
      <w:r w:rsidR="00D254EB">
        <w:t xml:space="preserve">would </w:t>
      </w:r>
      <w:r w:rsidRPr="00D254EB">
        <w:rPr>
          <w:b/>
        </w:rPr>
        <w:t>crea</w:t>
      </w:r>
      <w:r w:rsidR="00FE64E5" w:rsidRPr="00D254EB">
        <w:rPr>
          <w:b/>
        </w:rPr>
        <w:t>te two new distribution tariffs</w:t>
      </w:r>
      <w:r w:rsidR="00D254EB">
        <w:t xml:space="preserve"> (one domestic, one business, both half hourly but without capacity charges), and </w:t>
      </w:r>
      <w:r w:rsidR="00D254EB">
        <w:rPr>
          <w:b/>
        </w:rPr>
        <w:t>remove</w:t>
      </w:r>
      <w:r w:rsidR="00D254EB" w:rsidRPr="00D254EB">
        <w:rPr>
          <w:b/>
        </w:rPr>
        <w:t xml:space="preserve"> customer choice</w:t>
      </w:r>
      <w:r w:rsidR="00D254EB">
        <w:rPr>
          <w:b/>
        </w:rPr>
        <w:t xml:space="preserve"> about whether to pay capacity charges</w:t>
      </w:r>
      <w:r w:rsidR="00D254EB">
        <w:t xml:space="preserve"> (using </w:t>
      </w:r>
      <w:r w:rsidR="00240747">
        <w:t xml:space="preserve">instead a tariff eligibility rule based on </w:t>
      </w:r>
      <w:r w:rsidR="00D254EB">
        <w:t xml:space="preserve">metering </w:t>
      </w:r>
      <w:r w:rsidR="00240747">
        <w:t>technology</w:t>
      </w:r>
      <w:bookmarkStart w:id="0" w:name="_GoBack"/>
      <w:bookmarkEnd w:id="0"/>
      <w:r w:rsidR="00D254EB">
        <w:t>).</w:t>
      </w:r>
    </w:p>
    <w:p w14:paraId="26A97BB4" w14:textId="69806888" w:rsidR="00D254EB" w:rsidRDefault="00D254EB" w:rsidP="00D254EB">
      <w:pPr>
        <w:pStyle w:val="Heading2"/>
      </w:pPr>
      <w:r>
        <w:t>What is the impact of the removal of customer choice?</w:t>
      </w:r>
    </w:p>
    <w:p w14:paraId="71F764F2" w14:textId="77777777" w:rsidR="00D254EB" w:rsidRDefault="00D254EB" w:rsidP="00D254EB">
      <w:pPr>
        <w:pStyle w:val="Text"/>
      </w:pPr>
      <w:r>
        <w:t>Under the proposed rules governing eligibility for different tariffs:</w:t>
      </w:r>
    </w:p>
    <w:p w14:paraId="2E422642" w14:textId="054805A9" w:rsidR="00D254EB" w:rsidRDefault="00D254EB" w:rsidP="00D254EB">
      <w:pPr>
        <w:pStyle w:val="ListBullet"/>
      </w:pPr>
      <w:r>
        <w:t xml:space="preserve">All </w:t>
      </w:r>
      <w:r w:rsidR="00585E95">
        <w:t xml:space="preserve">high-voltage customer and all </w:t>
      </w:r>
      <w:r>
        <w:t>business customers with a “current transformer meter” would have to pay capacity charges</w:t>
      </w:r>
      <w:r w:rsidR="00585E95">
        <w:t xml:space="preserve"> if they are half hourly settled</w:t>
      </w:r>
      <w:r>
        <w:t>.</w:t>
      </w:r>
    </w:p>
    <w:p w14:paraId="51F99F70" w14:textId="77777777" w:rsidR="00D254EB" w:rsidRDefault="00D254EB" w:rsidP="00D254EB">
      <w:pPr>
        <w:pStyle w:val="ListBullet"/>
      </w:pPr>
      <w:r>
        <w:t>All half hourly domestic customers and all business customers with a “whole current meter” would not pay capacity charges.</w:t>
      </w:r>
    </w:p>
    <w:p w14:paraId="550A7221" w14:textId="77777777" w:rsidR="00585E95" w:rsidRDefault="00D254EB" w:rsidP="00D254EB">
      <w:pPr>
        <w:pStyle w:val="Text"/>
      </w:pPr>
      <w:r>
        <w:lastRenderedPageBreak/>
        <w:t>The current situation is that customers below 100 kW can choose whether to pay capacity charges by opting for half hourly settlement, irrespective of the technology used in their metering equipment.  Customers who take more than 100 kW must be half hourly settled and must pay capacity charges.</w:t>
      </w:r>
    </w:p>
    <w:p w14:paraId="1D7B999B" w14:textId="487A314D" w:rsidR="00585E95" w:rsidRDefault="00585E95" w:rsidP="00585E95">
      <w:pPr>
        <w:pStyle w:val="Text"/>
      </w:pPr>
      <w:r>
        <w:t xml:space="preserve">It is likely that the right to be </w:t>
      </w:r>
      <w:proofErr w:type="gramStart"/>
      <w:r>
        <w:t>non half</w:t>
      </w:r>
      <w:proofErr w:type="gramEnd"/>
      <w:r>
        <w:t xml:space="preserve"> hourly metered will be progressively removed.  If the proposal currently under consultation </w:t>
      </w:r>
      <w:proofErr w:type="gramStart"/>
      <w:r>
        <w:t>was</w:t>
      </w:r>
      <w:proofErr w:type="gramEnd"/>
      <w:r>
        <w:t xml:space="preserve"> rejected, then all these customers would have to pay capacity charges (as there is currently no distribution tariff which is half hourly and has no capacity charges).</w:t>
      </w:r>
    </w:p>
    <w:p w14:paraId="33E69881" w14:textId="16FEAA57" w:rsidR="00585E95" w:rsidRDefault="00585E95" w:rsidP="00585E95">
      <w:pPr>
        <w:pStyle w:val="Text"/>
      </w:pPr>
      <w:r>
        <w:t>Thus, the only relevant loss of customer choice is for customers who are domestic or whole current metered and who are currently elective half hourly.  These are people who have made a deliberate choice to pay capacity charges and to be half hourly settled.  Under the proposals, they would be forced on one of the new tar</w:t>
      </w:r>
      <w:r w:rsidR="001A776D">
        <w:t>iffs with no capacity charges</w:t>
      </w:r>
      <w:r>
        <w:t xml:space="preserve"> and with higher unit</w:t>
      </w:r>
      <w:r w:rsidR="001A776D">
        <w:t xml:space="preserve"> rates</w:t>
      </w:r>
      <w:r>
        <w:t>.</w:t>
      </w:r>
    </w:p>
    <w:p w14:paraId="3734937A" w14:textId="094B5F54" w:rsidR="001A776D" w:rsidRDefault="001A776D" w:rsidP="00585E95">
      <w:pPr>
        <w:pStyle w:val="Text"/>
      </w:pPr>
      <w:r>
        <w:t xml:space="preserve">Because the new tariffs are designed to be consistent with non half hourly tariffs, and non half hourly tariffs are designed for average domestic or small business load patterns which are fairly peaky, the effect of being forced to move to one of the new tariffs is </w:t>
      </w:r>
      <w:r w:rsidR="00E17320">
        <w:t>generally</w:t>
      </w:r>
      <w:r>
        <w:t xml:space="preserve"> detrimental to customers with a high load factor.</w:t>
      </w:r>
    </w:p>
    <w:p w14:paraId="62981C24" w14:textId="5CEB8A95" w:rsidR="001A776D" w:rsidRDefault="001A776D" w:rsidP="001A776D">
      <w:pPr>
        <w:pStyle w:val="Text"/>
      </w:pPr>
      <w:r>
        <w:t xml:space="preserve">The following table shows, for each DNO area, </w:t>
      </w:r>
      <w:r w:rsidR="00765C32">
        <w:t xml:space="preserve">my estimates (E&amp;OE) of </w:t>
      </w:r>
      <w:r>
        <w:t xml:space="preserve">annual distribution charges under </w:t>
      </w:r>
      <w:r w:rsidR="005E7DCF">
        <w:t>the normal half hourly tariff</w:t>
      </w:r>
      <w:r w:rsidR="005E7DCF">
        <w:t xml:space="preserve"> and the </w:t>
      </w:r>
      <w:r>
        <w:t xml:space="preserve">proposed </w:t>
      </w:r>
      <w:r w:rsidR="00765C32">
        <w:t xml:space="preserve">new </w:t>
      </w:r>
      <w:r>
        <w:t xml:space="preserve">half hourly tariff </w:t>
      </w:r>
      <w:r w:rsidR="00765C32">
        <w:t>without capacity charges</w:t>
      </w:r>
      <w:r w:rsidR="005E7DCF">
        <w:t xml:space="preserve">, for an </w:t>
      </w:r>
      <w:r w:rsidR="00765C32">
        <w:t xml:space="preserve">illustrative </w:t>
      </w:r>
      <w:r>
        <w:t xml:space="preserve">customer </w:t>
      </w:r>
      <w:r w:rsidR="005E7DCF">
        <w:t>with</w:t>
      </w:r>
      <w:r w:rsidR="005E7DCF" w:rsidRPr="005E7DCF">
        <w:t xml:space="preserve"> </w:t>
      </w:r>
      <w:r w:rsidR="005E7DCF">
        <w:t>continuous consumption of 65 kW</w:t>
      </w:r>
      <w:r w:rsidR="005E7DCF">
        <w:t xml:space="preserve"> and a maximum import </w:t>
      </w:r>
      <w:r w:rsidR="001D7C66">
        <w:t>capacity of 69 kVA</w:t>
      </w:r>
      <w:r>
        <w:t>.</w:t>
      </w:r>
    </w:p>
    <w:tbl>
      <w:tblPr>
        <w:tblStyle w:val="TableGrid"/>
        <w:tblW w:w="0" w:type="auto"/>
        <w:jc w:val="center"/>
        <w:tblLayout w:type="fixed"/>
        <w:tblLook w:val="04A0" w:firstRow="1" w:lastRow="0" w:firstColumn="1" w:lastColumn="0" w:noHBand="0" w:noVBand="1"/>
      </w:tblPr>
      <w:tblGrid>
        <w:gridCol w:w="2160"/>
        <w:gridCol w:w="2160"/>
        <w:gridCol w:w="2160"/>
        <w:gridCol w:w="2160"/>
      </w:tblGrid>
      <w:tr w:rsidR="005E7DCF" w:rsidRPr="00B80214" w14:paraId="244C7739" w14:textId="77777777" w:rsidTr="008106FF">
        <w:trPr>
          <w:jc w:val="center"/>
        </w:trPr>
        <w:tc>
          <w:tcPr>
            <w:tcW w:w="2160" w:type="dxa"/>
          </w:tcPr>
          <w:p w14:paraId="007C7B7B" w14:textId="77777777" w:rsidR="005E7DCF" w:rsidRPr="00B80214" w:rsidRDefault="005E7DCF" w:rsidP="001A776D">
            <w:pPr>
              <w:pStyle w:val="Table"/>
              <w:jc w:val="center"/>
            </w:pPr>
          </w:p>
        </w:tc>
        <w:tc>
          <w:tcPr>
            <w:tcW w:w="2160" w:type="dxa"/>
          </w:tcPr>
          <w:p w14:paraId="08B53278" w14:textId="32D9570E" w:rsidR="005E7DCF" w:rsidRPr="00B80214" w:rsidRDefault="005E7DCF" w:rsidP="001A776D">
            <w:pPr>
              <w:pStyle w:val="Table"/>
              <w:jc w:val="center"/>
            </w:pPr>
            <w:r>
              <w:t>65 kW flat on normal</w:t>
            </w:r>
            <w:r>
              <w:t xml:space="preserve"> half hourly tariff</w:t>
            </w:r>
            <w:r>
              <w:t xml:space="preserve"> with capacity charges</w:t>
            </w:r>
          </w:p>
          <w:p w14:paraId="2A5DDE51" w14:textId="77777777" w:rsidR="005E7DCF" w:rsidRPr="00B80214" w:rsidRDefault="005E7DCF" w:rsidP="001A776D">
            <w:pPr>
              <w:pStyle w:val="Table"/>
              <w:jc w:val="center"/>
            </w:pPr>
            <w:r w:rsidRPr="00B80214">
              <w:t>£/year</w:t>
            </w:r>
          </w:p>
        </w:tc>
        <w:tc>
          <w:tcPr>
            <w:tcW w:w="2160" w:type="dxa"/>
          </w:tcPr>
          <w:p w14:paraId="6CED0A1D" w14:textId="48BE4C2C" w:rsidR="005E7DCF" w:rsidRPr="00B80214" w:rsidRDefault="005E7DCF" w:rsidP="005E7DCF">
            <w:pPr>
              <w:pStyle w:val="Table"/>
              <w:jc w:val="center"/>
            </w:pPr>
            <w:r>
              <w:t xml:space="preserve">65 kW flat on </w:t>
            </w:r>
            <w:r>
              <w:t xml:space="preserve">new </w:t>
            </w:r>
            <w:r>
              <w:t>tariff with</w:t>
            </w:r>
            <w:r>
              <w:t>out</w:t>
            </w:r>
            <w:r>
              <w:t xml:space="preserve"> capacity charges</w:t>
            </w:r>
          </w:p>
          <w:p w14:paraId="10996483" w14:textId="5CA9FCAF" w:rsidR="005E7DCF" w:rsidRDefault="005E7DCF" w:rsidP="005E7DCF">
            <w:pPr>
              <w:pStyle w:val="Table"/>
              <w:jc w:val="center"/>
            </w:pPr>
            <w:r w:rsidRPr="00B80214">
              <w:t>£/year</w:t>
            </w:r>
          </w:p>
        </w:tc>
        <w:tc>
          <w:tcPr>
            <w:tcW w:w="2160" w:type="dxa"/>
          </w:tcPr>
          <w:p w14:paraId="6E269028" w14:textId="23DE6572" w:rsidR="005E7DCF" w:rsidRPr="001A76F5" w:rsidRDefault="005E7DCF" w:rsidP="001A776D">
            <w:pPr>
              <w:pStyle w:val="Table"/>
              <w:jc w:val="center"/>
            </w:pPr>
            <w:r>
              <w:t>Difference</w:t>
            </w:r>
            <w:r>
              <w:br/>
              <w:t xml:space="preserve">(i.e. </w:t>
            </w:r>
            <w:r w:rsidRPr="005E7DCF">
              <w:rPr>
                <w:color w:val="0000CC"/>
              </w:rPr>
              <w:t>cost</w:t>
            </w:r>
            <w:r>
              <w:t xml:space="preserve"> of the loss of customer choice)</w:t>
            </w:r>
          </w:p>
          <w:p w14:paraId="58753A5A" w14:textId="16F00199" w:rsidR="005E7DCF" w:rsidRPr="001A76F5" w:rsidRDefault="005E7DCF" w:rsidP="00E17320">
            <w:pPr>
              <w:pStyle w:val="Table"/>
              <w:jc w:val="center"/>
            </w:pPr>
            <w:r w:rsidRPr="001A76F5">
              <w:t>£/year</w:t>
            </w:r>
          </w:p>
        </w:tc>
      </w:tr>
      <w:tr w:rsidR="005E7DCF" w14:paraId="5946917F" w14:textId="77777777" w:rsidTr="00C66207">
        <w:trPr>
          <w:jc w:val="center"/>
        </w:trPr>
        <w:tc>
          <w:tcPr>
            <w:tcW w:w="2160" w:type="dxa"/>
          </w:tcPr>
          <w:p w14:paraId="24868818" w14:textId="77777777" w:rsidR="005E7DCF" w:rsidRDefault="005E7DCF" w:rsidP="001A776D">
            <w:pPr>
              <w:pStyle w:val="Table"/>
            </w:pPr>
            <w:r>
              <w:t>ENWL</w:t>
            </w:r>
          </w:p>
        </w:tc>
        <w:tc>
          <w:tcPr>
            <w:tcW w:w="2160" w:type="dxa"/>
            <w:vAlign w:val="bottom"/>
          </w:tcPr>
          <w:p w14:paraId="58AEB604" w14:textId="77777777" w:rsidR="005E7DCF" w:rsidRPr="00B82EA4" w:rsidRDefault="005E7DCF" w:rsidP="001A776D">
            <w:pPr>
              <w:pStyle w:val="Table"/>
              <w:tabs>
                <w:tab w:val="clear" w:pos="720"/>
                <w:tab w:val="decimal" w:pos="1322"/>
              </w:tabs>
            </w:pPr>
            <w:r w:rsidRPr="00B82EA4">
              <w:rPr>
                <w:color w:val="000000"/>
                <w:szCs w:val="22"/>
              </w:rPr>
              <w:t xml:space="preserve"> 8,</w:t>
            </w:r>
            <w:r w:rsidRPr="001A776D">
              <w:t>250</w:t>
            </w:r>
            <w:r w:rsidRPr="00B82EA4">
              <w:rPr>
                <w:color w:val="000000"/>
                <w:szCs w:val="22"/>
              </w:rPr>
              <w:t xml:space="preserve"> </w:t>
            </w:r>
          </w:p>
        </w:tc>
        <w:tc>
          <w:tcPr>
            <w:tcW w:w="2160" w:type="dxa"/>
            <w:vAlign w:val="bottom"/>
          </w:tcPr>
          <w:p w14:paraId="253CC806" w14:textId="12DA8195"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11,722 </w:t>
            </w:r>
          </w:p>
        </w:tc>
        <w:tc>
          <w:tcPr>
            <w:tcW w:w="2160" w:type="dxa"/>
            <w:vAlign w:val="center"/>
          </w:tcPr>
          <w:p w14:paraId="4189A9DE" w14:textId="67B1A611" w:rsidR="005E7DCF" w:rsidRPr="005E7DCF" w:rsidRDefault="005E7DCF" w:rsidP="001A776D">
            <w:pPr>
              <w:pStyle w:val="Table"/>
              <w:tabs>
                <w:tab w:val="clear" w:pos="720"/>
                <w:tab w:val="decimal" w:pos="1322"/>
              </w:tabs>
              <w:rPr>
                <w:color w:val="0000D4"/>
                <w:szCs w:val="22"/>
              </w:rPr>
            </w:pPr>
            <w:r w:rsidRPr="00B82EA4">
              <w:rPr>
                <w:color w:val="0000D4"/>
                <w:szCs w:val="22"/>
              </w:rPr>
              <w:t xml:space="preserve"> +  3,</w:t>
            </w:r>
            <w:r w:rsidRPr="005E7DCF">
              <w:rPr>
                <w:color w:val="0000D4"/>
                <w:szCs w:val="22"/>
              </w:rPr>
              <w:t>472</w:t>
            </w:r>
          </w:p>
        </w:tc>
      </w:tr>
      <w:tr w:rsidR="005E7DCF" w14:paraId="4E4ED387" w14:textId="77777777" w:rsidTr="00C66207">
        <w:trPr>
          <w:jc w:val="center"/>
        </w:trPr>
        <w:tc>
          <w:tcPr>
            <w:tcW w:w="2160" w:type="dxa"/>
          </w:tcPr>
          <w:p w14:paraId="0348ABE7" w14:textId="77777777" w:rsidR="005E7DCF" w:rsidRDefault="005E7DCF" w:rsidP="001A776D">
            <w:pPr>
              <w:pStyle w:val="Table"/>
            </w:pPr>
            <w:r>
              <w:t>NPG Northeast</w:t>
            </w:r>
          </w:p>
        </w:tc>
        <w:tc>
          <w:tcPr>
            <w:tcW w:w="2160" w:type="dxa"/>
            <w:vAlign w:val="bottom"/>
          </w:tcPr>
          <w:p w14:paraId="500D0AF6" w14:textId="77777777" w:rsidR="005E7DCF" w:rsidRPr="00B82EA4" w:rsidRDefault="005E7DCF" w:rsidP="001A776D">
            <w:pPr>
              <w:pStyle w:val="Table"/>
              <w:tabs>
                <w:tab w:val="clear" w:pos="720"/>
                <w:tab w:val="decimal" w:pos="1322"/>
              </w:tabs>
            </w:pPr>
            <w:r w:rsidRPr="00B82EA4">
              <w:rPr>
                <w:color w:val="000000"/>
                <w:szCs w:val="22"/>
              </w:rPr>
              <w:t xml:space="preserve"> 9,677 </w:t>
            </w:r>
          </w:p>
        </w:tc>
        <w:tc>
          <w:tcPr>
            <w:tcW w:w="2160" w:type="dxa"/>
            <w:vAlign w:val="bottom"/>
          </w:tcPr>
          <w:p w14:paraId="49D148D2" w14:textId="63A9E43A"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12,720 </w:t>
            </w:r>
          </w:p>
        </w:tc>
        <w:tc>
          <w:tcPr>
            <w:tcW w:w="2160" w:type="dxa"/>
            <w:vAlign w:val="center"/>
          </w:tcPr>
          <w:p w14:paraId="1F6A5BC2" w14:textId="27D24C99" w:rsidR="005E7DCF" w:rsidRPr="00B82EA4" w:rsidRDefault="005E7DCF" w:rsidP="001A776D">
            <w:pPr>
              <w:pStyle w:val="Table"/>
              <w:tabs>
                <w:tab w:val="clear" w:pos="720"/>
                <w:tab w:val="decimal" w:pos="1322"/>
              </w:tabs>
            </w:pPr>
            <w:r w:rsidRPr="00B82EA4">
              <w:rPr>
                <w:color w:val="0000D4"/>
                <w:szCs w:val="22"/>
              </w:rPr>
              <w:t xml:space="preserve"> +  3,043</w:t>
            </w:r>
          </w:p>
        </w:tc>
      </w:tr>
      <w:tr w:rsidR="005E7DCF" w14:paraId="12FE338C" w14:textId="77777777" w:rsidTr="00C66207">
        <w:trPr>
          <w:jc w:val="center"/>
        </w:trPr>
        <w:tc>
          <w:tcPr>
            <w:tcW w:w="2160" w:type="dxa"/>
          </w:tcPr>
          <w:p w14:paraId="4115C8C5" w14:textId="77777777" w:rsidR="005E7DCF" w:rsidRDefault="005E7DCF" w:rsidP="001A776D">
            <w:pPr>
              <w:pStyle w:val="Table"/>
            </w:pPr>
            <w:r>
              <w:t>NPG Yorkshire</w:t>
            </w:r>
          </w:p>
        </w:tc>
        <w:tc>
          <w:tcPr>
            <w:tcW w:w="2160" w:type="dxa"/>
            <w:vAlign w:val="bottom"/>
          </w:tcPr>
          <w:p w14:paraId="2A881084" w14:textId="77777777" w:rsidR="005E7DCF" w:rsidRPr="00B82EA4" w:rsidRDefault="005E7DCF" w:rsidP="001A776D">
            <w:pPr>
              <w:pStyle w:val="Table"/>
              <w:tabs>
                <w:tab w:val="clear" w:pos="720"/>
                <w:tab w:val="decimal" w:pos="1322"/>
              </w:tabs>
            </w:pPr>
            <w:r w:rsidRPr="00B82EA4">
              <w:rPr>
                <w:color w:val="000000"/>
                <w:szCs w:val="22"/>
              </w:rPr>
              <w:t xml:space="preserve"> 7,868 </w:t>
            </w:r>
          </w:p>
        </w:tc>
        <w:tc>
          <w:tcPr>
            <w:tcW w:w="2160" w:type="dxa"/>
            <w:vAlign w:val="bottom"/>
          </w:tcPr>
          <w:p w14:paraId="3F91817C" w14:textId="07A580A1"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10,180 </w:t>
            </w:r>
          </w:p>
        </w:tc>
        <w:tc>
          <w:tcPr>
            <w:tcW w:w="2160" w:type="dxa"/>
            <w:vAlign w:val="center"/>
          </w:tcPr>
          <w:p w14:paraId="40EE59F7" w14:textId="7CE385D0" w:rsidR="005E7DCF" w:rsidRPr="00B82EA4" w:rsidRDefault="005E7DCF" w:rsidP="001A776D">
            <w:pPr>
              <w:pStyle w:val="Table"/>
              <w:tabs>
                <w:tab w:val="clear" w:pos="720"/>
                <w:tab w:val="decimal" w:pos="1322"/>
              </w:tabs>
            </w:pPr>
            <w:r w:rsidRPr="00B82EA4">
              <w:rPr>
                <w:color w:val="0000D4"/>
                <w:szCs w:val="22"/>
              </w:rPr>
              <w:t xml:space="preserve"> +  2,312</w:t>
            </w:r>
          </w:p>
        </w:tc>
      </w:tr>
      <w:tr w:rsidR="005E7DCF" w14:paraId="3E4163F4" w14:textId="77777777" w:rsidTr="00C66207">
        <w:trPr>
          <w:jc w:val="center"/>
        </w:trPr>
        <w:tc>
          <w:tcPr>
            <w:tcW w:w="2160" w:type="dxa"/>
          </w:tcPr>
          <w:p w14:paraId="3D0C3B08" w14:textId="77777777" w:rsidR="005E7DCF" w:rsidRDefault="005E7DCF" w:rsidP="001A776D">
            <w:pPr>
              <w:pStyle w:val="Table"/>
            </w:pPr>
            <w:r>
              <w:t>SPEN SPD</w:t>
            </w:r>
          </w:p>
        </w:tc>
        <w:tc>
          <w:tcPr>
            <w:tcW w:w="2160" w:type="dxa"/>
            <w:vAlign w:val="bottom"/>
          </w:tcPr>
          <w:p w14:paraId="7DDC5B16" w14:textId="77777777" w:rsidR="005E7DCF" w:rsidRPr="00B82EA4" w:rsidRDefault="005E7DCF" w:rsidP="001A776D">
            <w:pPr>
              <w:pStyle w:val="Table"/>
              <w:tabs>
                <w:tab w:val="clear" w:pos="720"/>
                <w:tab w:val="decimal" w:pos="1322"/>
              </w:tabs>
            </w:pPr>
            <w:r w:rsidRPr="00B82EA4">
              <w:rPr>
                <w:color w:val="000000"/>
                <w:szCs w:val="22"/>
              </w:rPr>
              <w:t xml:space="preserve"> 7,455 </w:t>
            </w:r>
          </w:p>
        </w:tc>
        <w:tc>
          <w:tcPr>
            <w:tcW w:w="2160" w:type="dxa"/>
            <w:vAlign w:val="bottom"/>
          </w:tcPr>
          <w:p w14:paraId="35C2059E" w14:textId="7344681E"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8,644 </w:t>
            </w:r>
          </w:p>
        </w:tc>
        <w:tc>
          <w:tcPr>
            <w:tcW w:w="2160" w:type="dxa"/>
            <w:vAlign w:val="center"/>
          </w:tcPr>
          <w:p w14:paraId="099F45B2" w14:textId="4C2154E0" w:rsidR="005E7DCF" w:rsidRPr="00B82EA4" w:rsidRDefault="005E7DCF" w:rsidP="001A776D">
            <w:pPr>
              <w:pStyle w:val="Table"/>
              <w:tabs>
                <w:tab w:val="clear" w:pos="720"/>
                <w:tab w:val="decimal" w:pos="1322"/>
              </w:tabs>
            </w:pPr>
            <w:r w:rsidRPr="00B82EA4">
              <w:rPr>
                <w:color w:val="0000D4"/>
                <w:szCs w:val="22"/>
              </w:rPr>
              <w:t xml:space="preserve"> +  1,190</w:t>
            </w:r>
          </w:p>
        </w:tc>
      </w:tr>
      <w:tr w:rsidR="005E7DCF" w14:paraId="41788DB1" w14:textId="77777777" w:rsidTr="00C66207">
        <w:trPr>
          <w:jc w:val="center"/>
        </w:trPr>
        <w:tc>
          <w:tcPr>
            <w:tcW w:w="2160" w:type="dxa"/>
          </w:tcPr>
          <w:p w14:paraId="6DA45A82" w14:textId="77777777" w:rsidR="005E7DCF" w:rsidRDefault="005E7DCF" w:rsidP="001A776D">
            <w:pPr>
              <w:pStyle w:val="Table"/>
            </w:pPr>
            <w:r>
              <w:t>SPEN SPM</w:t>
            </w:r>
          </w:p>
        </w:tc>
        <w:tc>
          <w:tcPr>
            <w:tcW w:w="2160" w:type="dxa"/>
            <w:vAlign w:val="bottom"/>
          </w:tcPr>
          <w:p w14:paraId="5A0D6DB1" w14:textId="77777777" w:rsidR="005E7DCF" w:rsidRPr="00B82EA4" w:rsidRDefault="005E7DCF" w:rsidP="001A776D">
            <w:pPr>
              <w:pStyle w:val="Table"/>
              <w:tabs>
                <w:tab w:val="clear" w:pos="720"/>
                <w:tab w:val="decimal" w:pos="1322"/>
              </w:tabs>
            </w:pPr>
            <w:r w:rsidRPr="00B82EA4">
              <w:rPr>
                <w:color w:val="000000"/>
                <w:szCs w:val="22"/>
              </w:rPr>
              <w:t xml:space="preserve"> 13,824 </w:t>
            </w:r>
          </w:p>
        </w:tc>
        <w:tc>
          <w:tcPr>
            <w:tcW w:w="2160" w:type="dxa"/>
            <w:vAlign w:val="bottom"/>
          </w:tcPr>
          <w:p w14:paraId="11FBA75E" w14:textId="225B399E"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15,844 </w:t>
            </w:r>
          </w:p>
        </w:tc>
        <w:tc>
          <w:tcPr>
            <w:tcW w:w="2160" w:type="dxa"/>
            <w:vAlign w:val="center"/>
          </w:tcPr>
          <w:p w14:paraId="5035F804" w14:textId="6F5E5BFB" w:rsidR="005E7DCF" w:rsidRPr="00B82EA4" w:rsidRDefault="005E7DCF" w:rsidP="001A776D">
            <w:pPr>
              <w:pStyle w:val="Table"/>
              <w:tabs>
                <w:tab w:val="clear" w:pos="720"/>
                <w:tab w:val="decimal" w:pos="1322"/>
              </w:tabs>
            </w:pPr>
            <w:r w:rsidRPr="00B82EA4">
              <w:rPr>
                <w:color w:val="0000D4"/>
                <w:szCs w:val="22"/>
              </w:rPr>
              <w:t xml:space="preserve"> +  2,020</w:t>
            </w:r>
          </w:p>
        </w:tc>
      </w:tr>
      <w:tr w:rsidR="005E7DCF" w14:paraId="45025A72" w14:textId="77777777" w:rsidTr="00C66207">
        <w:trPr>
          <w:jc w:val="center"/>
        </w:trPr>
        <w:tc>
          <w:tcPr>
            <w:tcW w:w="2160" w:type="dxa"/>
          </w:tcPr>
          <w:p w14:paraId="48E089C7" w14:textId="77777777" w:rsidR="005E7DCF" w:rsidRDefault="005E7DCF" w:rsidP="001A776D">
            <w:pPr>
              <w:pStyle w:val="Table"/>
            </w:pPr>
            <w:r>
              <w:t>SSEPD SEPD</w:t>
            </w:r>
          </w:p>
        </w:tc>
        <w:tc>
          <w:tcPr>
            <w:tcW w:w="2160" w:type="dxa"/>
            <w:vAlign w:val="bottom"/>
          </w:tcPr>
          <w:p w14:paraId="06B5928F" w14:textId="77777777" w:rsidR="005E7DCF" w:rsidRPr="00B82EA4" w:rsidRDefault="005E7DCF" w:rsidP="001A776D">
            <w:pPr>
              <w:pStyle w:val="Table"/>
              <w:tabs>
                <w:tab w:val="clear" w:pos="720"/>
                <w:tab w:val="decimal" w:pos="1322"/>
              </w:tabs>
            </w:pPr>
            <w:r w:rsidRPr="00B82EA4">
              <w:rPr>
                <w:color w:val="000000"/>
                <w:szCs w:val="22"/>
              </w:rPr>
              <w:t xml:space="preserve"> 6,591 </w:t>
            </w:r>
          </w:p>
        </w:tc>
        <w:tc>
          <w:tcPr>
            <w:tcW w:w="2160" w:type="dxa"/>
            <w:vAlign w:val="bottom"/>
          </w:tcPr>
          <w:p w14:paraId="732346ED" w14:textId="20BE1979"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7,735 </w:t>
            </w:r>
          </w:p>
        </w:tc>
        <w:tc>
          <w:tcPr>
            <w:tcW w:w="2160" w:type="dxa"/>
            <w:vAlign w:val="center"/>
          </w:tcPr>
          <w:p w14:paraId="7EC41FBC" w14:textId="7E508C4C" w:rsidR="005E7DCF" w:rsidRPr="00B82EA4" w:rsidRDefault="005E7DCF" w:rsidP="001A776D">
            <w:pPr>
              <w:pStyle w:val="Table"/>
              <w:tabs>
                <w:tab w:val="clear" w:pos="720"/>
                <w:tab w:val="decimal" w:pos="1322"/>
              </w:tabs>
            </w:pPr>
            <w:r w:rsidRPr="00B82EA4">
              <w:rPr>
                <w:color w:val="0000D4"/>
                <w:szCs w:val="22"/>
              </w:rPr>
              <w:t xml:space="preserve"> +  1,144</w:t>
            </w:r>
          </w:p>
        </w:tc>
      </w:tr>
      <w:tr w:rsidR="005E7DCF" w14:paraId="68844C67" w14:textId="77777777" w:rsidTr="00C66207">
        <w:trPr>
          <w:jc w:val="center"/>
        </w:trPr>
        <w:tc>
          <w:tcPr>
            <w:tcW w:w="2160" w:type="dxa"/>
          </w:tcPr>
          <w:p w14:paraId="065497AB" w14:textId="77777777" w:rsidR="005E7DCF" w:rsidRDefault="005E7DCF" w:rsidP="001A776D">
            <w:pPr>
              <w:pStyle w:val="Table"/>
            </w:pPr>
            <w:r>
              <w:t>SSEPD SHEPD</w:t>
            </w:r>
          </w:p>
        </w:tc>
        <w:tc>
          <w:tcPr>
            <w:tcW w:w="2160" w:type="dxa"/>
            <w:vAlign w:val="bottom"/>
          </w:tcPr>
          <w:p w14:paraId="3A9E33E8" w14:textId="77777777" w:rsidR="005E7DCF" w:rsidRPr="00B82EA4" w:rsidRDefault="005E7DCF" w:rsidP="001A776D">
            <w:pPr>
              <w:pStyle w:val="Table"/>
              <w:tabs>
                <w:tab w:val="clear" w:pos="720"/>
                <w:tab w:val="decimal" w:pos="1322"/>
              </w:tabs>
            </w:pPr>
            <w:r w:rsidRPr="00B82EA4">
              <w:rPr>
                <w:color w:val="000000"/>
                <w:szCs w:val="22"/>
              </w:rPr>
              <w:t xml:space="preserve"> 13,649 </w:t>
            </w:r>
          </w:p>
        </w:tc>
        <w:tc>
          <w:tcPr>
            <w:tcW w:w="2160" w:type="dxa"/>
            <w:vAlign w:val="bottom"/>
          </w:tcPr>
          <w:p w14:paraId="5AF5429D" w14:textId="37E3FDD7"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16,000 </w:t>
            </w:r>
          </w:p>
        </w:tc>
        <w:tc>
          <w:tcPr>
            <w:tcW w:w="2160" w:type="dxa"/>
            <w:vAlign w:val="center"/>
          </w:tcPr>
          <w:p w14:paraId="623A0FFD" w14:textId="2B64F41A" w:rsidR="005E7DCF" w:rsidRPr="00B82EA4" w:rsidRDefault="005E7DCF" w:rsidP="001A776D">
            <w:pPr>
              <w:pStyle w:val="Table"/>
              <w:tabs>
                <w:tab w:val="clear" w:pos="720"/>
                <w:tab w:val="decimal" w:pos="1322"/>
              </w:tabs>
            </w:pPr>
            <w:r w:rsidRPr="00B82EA4">
              <w:rPr>
                <w:color w:val="0000D4"/>
                <w:szCs w:val="22"/>
              </w:rPr>
              <w:t xml:space="preserve"> +  2,352</w:t>
            </w:r>
          </w:p>
        </w:tc>
      </w:tr>
      <w:tr w:rsidR="005E7DCF" w14:paraId="69E92CB7" w14:textId="77777777" w:rsidTr="00C66207">
        <w:trPr>
          <w:jc w:val="center"/>
        </w:trPr>
        <w:tc>
          <w:tcPr>
            <w:tcW w:w="2160" w:type="dxa"/>
          </w:tcPr>
          <w:p w14:paraId="3673F00C" w14:textId="77777777" w:rsidR="005E7DCF" w:rsidRDefault="005E7DCF" w:rsidP="001A776D">
            <w:pPr>
              <w:pStyle w:val="Table"/>
            </w:pPr>
            <w:r>
              <w:t>UKPN EPN</w:t>
            </w:r>
          </w:p>
        </w:tc>
        <w:tc>
          <w:tcPr>
            <w:tcW w:w="2160" w:type="dxa"/>
            <w:vAlign w:val="bottom"/>
          </w:tcPr>
          <w:p w14:paraId="04EED7F4" w14:textId="77777777" w:rsidR="005E7DCF" w:rsidRPr="00B82EA4" w:rsidRDefault="005E7DCF" w:rsidP="001A776D">
            <w:pPr>
              <w:pStyle w:val="Table"/>
              <w:tabs>
                <w:tab w:val="clear" w:pos="720"/>
                <w:tab w:val="decimal" w:pos="1322"/>
              </w:tabs>
            </w:pPr>
            <w:r w:rsidRPr="00B82EA4">
              <w:rPr>
                <w:color w:val="000000"/>
                <w:szCs w:val="22"/>
              </w:rPr>
              <w:t xml:space="preserve"> 6,538 </w:t>
            </w:r>
          </w:p>
        </w:tc>
        <w:tc>
          <w:tcPr>
            <w:tcW w:w="2160" w:type="dxa"/>
            <w:vAlign w:val="bottom"/>
          </w:tcPr>
          <w:p w14:paraId="1B570DDD" w14:textId="408DF480"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7,047 </w:t>
            </w:r>
          </w:p>
        </w:tc>
        <w:tc>
          <w:tcPr>
            <w:tcW w:w="2160" w:type="dxa"/>
            <w:vAlign w:val="center"/>
          </w:tcPr>
          <w:p w14:paraId="59DF6316" w14:textId="0E097195" w:rsidR="005E7DCF" w:rsidRPr="00B82EA4" w:rsidRDefault="005E7DCF" w:rsidP="001A776D">
            <w:pPr>
              <w:pStyle w:val="Table"/>
              <w:tabs>
                <w:tab w:val="clear" w:pos="720"/>
                <w:tab w:val="decimal" w:pos="1322"/>
              </w:tabs>
            </w:pPr>
            <w:r w:rsidRPr="00B82EA4">
              <w:rPr>
                <w:color w:val="0000D4"/>
                <w:szCs w:val="22"/>
              </w:rPr>
              <w:t xml:space="preserve"> +    509</w:t>
            </w:r>
          </w:p>
        </w:tc>
      </w:tr>
      <w:tr w:rsidR="005E7DCF" w14:paraId="3DCD7A5D" w14:textId="77777777" w:rsidTr="00C66207">
        <w:trPr>
          <w:jc w:val="center"/>
        </w:trPr>
        <w:tc>
          <w:tcPr>
            <w:tcW w:w="2160" w:type="dxa"/>
          </w:tcPr>
          <w:p w14:paraId="31654DA3" w14:textId="77777777" w:rsidR="005E7DCF" w:rsidRDefault="005E7DCF" w:rsidP="001A776D">
            <w:pPr>
              <w:pStyle w:val="Table"/>
            </w:pPr>
            <w:r>
              <w:t>UKPN LPN</w:t>
            </w:r>
          </w:p>
        </w:tc>
        <w:tc>
          <w:tcPr>
            <w:tcW w:w="2160" w:type="dxa"/>
            <w:vAlign w:val="bottom"/>
          </w:tcPr>
          <w:p w14:paraId="01029EC0" w14:textId="77777777" w:rsidR="005E7DCF" w:rsidRPr="00B82EA4" w:rsidRDefault="005E7DCF" w:rsidP="001A776D">
            <w:pPr>
              <w:pStyle w:val="Table"/>
              <w:tabs>
                <w:tab w:val="clear" w:pos="720"/>
                <w:tab w:val="decimal" w:pos="1322"/>
              </w:tabs>
            </w:pPr>
            <w:r w:rsidRPr="00B82EA4">
              <w:rPr>
                <w:color w:val="000000"/>
                <w:szCs w:val="22"/>
              </w:rPr>
              <w:t xml:space="preserve"> 6,090 </w:t>
            </w:r>
          </w:p>
        </w:tc>
        <w:tc>
          <w:tcPr>
            <w:tcW w:w="2160" w:type="dxa"/>
            <w:vAlign w:val="bottom"/>
          </w:tcPr>
          <w:p w14:paraId="394DEF6A" w14:textId="20E9B2B6"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6,835 </w:t>
            </w:r>
          </w:p>
        </w:tc>
        <w:tc>
          <w:tcPr>
            <w:tcW w:w="2160" w:type="dxa"/>
            <w:vAlign w:val="center"/>
          </w:tcPr>
          <w:p w14:paraId="5C90E5D1" w14:textId="75BB9B9E" w:rsidR="005E7DCF" w:rsidRPr="00B82EA4" w:rsidRDefault="005E7DCF" w:rsidP="001A776D">
            <w:pPr>
              <w:pStyle w:val="Table"/>
              <w:tabs>
                <w:tab w:val="clear" w:pos="720"/>
                <w:tab w:val="decimal" w:pos="1322"/>
              </w:tabs>
            </w:pPr>
            <w:r w:rsidRPr="00B82EA4">
              <w:rPr>
                <w:color w:val="0000D4"/>
                <w:szCs w:val="22"/>
              </w:rPr>
              <w:t xml:space="preserve"> +    745</w:t>
            </w:r>
          </w:p>
        </w:tc>
      </w:tr>
      <w:tr w:rsidR="005E7DCF" w14:paraId="61BCB9F5" w14:textId="77777777" w:rsidTr="00C66207">
        <w:trPr>
          <w:jc w:val="center"/>
        </w:trPr>
        <w:tc>
          <w:tcPr>
            <w:tcW w:w="2160" w:type="dxa"/>
          </w:tcPr>
          <w:p w14:paraId="0EDC1542" w14:textId="77777777" w:rsidR="005E7DCF" w:rsidRDefault="005E7DCF" w:rsidP="001A776D">
            <w:pPr>
              <w:pStyle w:val="Table"/>
            </w:pPr>
            <w:r>
              <w:t>UKPN SPN</w:t>
            </w:r>
          </w:p>
        </w:tc>
        <w:tc>
          <w:tcPr>
            <w:tcW w:w="2160" w:type="dxa"/>
            <w:vAlign w:val="bottom"/>
          </w:tcPr>
          <w:p w14:paraId="200A34CB" w14:textId="77777777" w:rsidR="005E7DCF" w:rsidRPr="00B82EA4" w:rsidRDefault="005E7DCF" w:rsidP="001A776D">
            <w:pPr>
              <w:pStyle w:val="Table"/>
              <w:tabs>
                <w:tab w:val="clear" w:pos="720"/>
                <w:tab w:val="decimal" w:pos="1322"/>
              </w:tabs>
            </w:pPr>
            <w:r w:rsidRPr="00B82EA4">
              <w:rPr>
                <w:color w:val="000000"/>
                <w:szCs w:val="22"/>
              </w:rPr>
              <w:t xml:space="preserve"> 7,672 </w:t>
            </w:r>
          </w:p>
        </w:tc>
        <w:tc>
          <w:tcPr>
            <w:tcW w:w="2160" w:type="dxa"/>
            <w:vAlign w:val="bottom"/>
          </w:tcPr>
          <w:p w14:paraId="100DA6E8" w14:textId="4079AC49" w:rsidR="005E7DCF" w:rsidRPr="00B82EA4" w:rsidRDefault="005E7DCF" w:rsidP="001A776D">
            <w:pPr>
              <w:pStyle w:val="Table"/>
              <w:tabs>
                <w:tab w:val="clear" w:pos="720"/>
                <w:tab w:val="decimal" w:pos="1322"/>
              </w:tabs>
              <w:rPr>
                <w:color w:val="DD0806"/>
                <w:szCs w:val="22"/>
              </w:rPr>
            </w:pPr>
            <w:r w:rsidRPr="00B82EA4">
              <w:rPr>
                <w:color w:val="000000"/>
                <w:szCs w:val="22"/>
              </w:rPr>
              <w:t xml:space="preserve"> 6,884 </w:t>
            </w:r>
          </w:p>
        </w:tc>
        <w:tc>
          <w:tcPr>
            <w:tcW w:w="2160" w:type="dxa"/>
            <w:vAlign w:val="center"/>
          </w:tcPr>
          <w:p w14:paraId="4298247D" w14:textId="3A9A5418" w:rsidR="005E7DCF" w:rsidRPr="00B82EA4" w:rsidRDefault="005E7DCF" w:rsidP="005E7DCF">
            <w:pPr>
              <w:pStyle w:val="Table"/>
              <w:tabs>
                <w:tab w:val="clear" w:pos="720"/>
                <w:tab w:val="decimal" w:pos="1322"/>
              </w:tabs>
            </w:pPr>
            <w:r w:rsidRPr="00B82EA4">
              <w:rPr>
                <w:color w:val="DD0806"/>
                <w:szCs w:val="22"/>
              </w:rPr>
              <w:t xml:space="preserve"> -    788</w:t>
            </w:r>
            <w:r>
              <w:rPr>
                <w:color w:val="DD0806"/>
                <w:szCs w:val="22"/>
              </w:rPr>
              <w:t xml:space="preserve"> </w:t>
            </w:r>
          </w:p>
        </w:tc>
      </w:tr>
      <w:tr w:rsidR="005E7DCF" w14:paraId="3FE6CD44" w14:textId="77777777" w:rsidTr="00C66207">
        <w:trPr>
          <w:jc w:val="center"/>
        </w:trPr>
        <w:tc>
          <w:tcPr>
            <w:tcW w:w="2160" w:type="dxa"/>
          </w:tcPr>
          <w:p w14:paraId="2036D116" w14:textId="77777777" w:rsidR="005E7DCF" w:rsidRDefault="005E7DCF" w:rsidP="001A776D">
            <w:pPr>
              <w:pStyle w:val="Table"/>
            </w:pPr>
            <w:r>
              <w:t xml:space="preserve">WPD </w:t>
            </w:r>
            <w:proofErr w:type="spellStart"/>
            <w:r>
              <w:t>EastM</w:t>
            </w:r>
            <w:proofErr w:type="spellEnd"/>
          </w:p>
        </w:tc>
        <w:tc>
          <w:tcPr>
            <w:tcW w:w="2160" w:type="dxa"/>
            <w:vAlign w:val="bottom"/>
          </w:tcPr>
          <w:p w14:paraId="02506712" w14:textId="77777777" w:rsidR="005E7DCF" w:rsidRPr="00B82EA4" w:rsidRDefault="005E7DCF" w:rsidP="001A776D">
            <w:pPr>
              <w:pStyle w:val="Table"/>
              <w:tabs>
                <w:tab w:val="clear" w:pos="720"/>
                <w:tab w:val="decimal" w:pos="1322"/>
              </w:tabs>
            </w:pPr>
            <w:r w:rsidRPr="00B82EA4">
              <w:rPr>
                <w:color w:val="000000"/>
                <w:szCs w:val="22"/>
              </w:rPr>
              <w:t xml:space="preserve"> 6,720 </w:t>
            </w:r>
          </w:p>
        </w:tc>
        <w:tc>
          <w:tcPr>
            <w:tcW w:w="2160" w:type="dxa"/>
            <w:vAlign w:val="bottom"/>
          </w:tcPr>
          <w:p w14:paraId="0E9F7D6E" w14:textId="16D340E4"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7,880 </w:t>
            </w:r>
          </w:p>
        </w:tc>
        <w:tc>
          <w:tcPr>
            <w:tcW w:w="2160" w:type="dxa"/>
            <w:vAlign w:val="center"/>
          </w:tcPr>
          <w:p w14:paraId="618ED74F" w14:textId="76C8C0F5" w:rsidR="005E7DCF" w:rsidRPr="00B82EA4" w:rsidRDefault="005E7DCF" w:rsidP="001A776D">
            <w:pPr>
              <w:pStyle w:val="Table"/>
              <w:tabs>
                <w:tab w:val="clear" w:pos="720"/>
                <w:tab w:val="decimal" w:pos="1322"/>
              </w:tabs>
            </w:pPr>
            <w:r w:rsidRPr="00B82EA4">
              <w:rPr>
                <w:color w:val="0000D4"/>
                <w:szCs w:val="22"/>
              </w:rPr>
              <w:t xml:space="preserve"> +  1,160</w:t>
            </w:r>
          </w:p>
        </w:tc>
      </w:tr>
      <w:tr w:rsidR="005E7DCF" w14:paraId="595E04E4" w14:textId="77777777" w:rsidTr="00C66207">
        <w:trPr>
          <w:jc w:val="center"/>
        </w:trPr>
        <w:tc>
          <w:tcPr>
            <w:tcW w:w="2160" w:type="dxa"/>
          </w:tcPr>
          <w:p w14:paraId="145D72D6" w14:textId="77777777" w:rsidR="005E7DCF" w:rsidRDefault="005E7DCF" w:rsidP="001A776D">
            <w:pPr>
              <w:pStyle w:val="Table"/>
            </w:pPr>
            <w:r>
              <w:t xml:space="preserve">WPD </w:t>
            </w:r>
            <w:proofErr w:type="spellStart"/>
            <w:r>
              <w:t>SWales</w:t>
            </w:r>
            <w:proofErr w:type="spellEnd"/>
          </w:p>
        </w:tc>
        <w:tc>
          <w:tcPr>
            <w:tcW w:w="2160" w:type="dxa"/>
            <w:vAlign w:val="bottom"/>
          </w:tcPr>
          <w:p w14:paraId="29BD3665" w14:textId="77777777" w:rsidR="005E7DCF" w:rsidRPr="00B82EA4" w:rsidRDefault="005E7DCF" w:rsidP="001A776D">
            <w:pPr>
              <w:pStyle w:val="Table"/>
              <w:tabs>
                <w:tab w:val="clear" w:pos="720"/>
                <w:tab w:val="decimal" w:pos="1322"/>
              </w:tabs>
            </w:pPr>
            <w:r w:rsidRPr="00B82EA4">
              <w:rPr>
                <w:color w:val="000000"/>
                <w:szCs w:val="22"/>
              </w:rPr>
              <w:t xml:space="preserve"> 11,840 </w:t>
            </w:r>
          </w:p>
        </w:tc>
        <w:tc>
          <w:tcPr>
            <w:tcW w:w="2160" w:type="dxa"/>
            <w:vAlign w:val="bottom"/>
          </w:tcPr>
          <w:p w14:paraId="46705B27" w14:textId="416D3289"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14,604 </w:t>
            </w:r>
          </w:p>
        </w:tc>
        <w:tc>
          <w:tcPr>
            <w:tcW w:w="2160" w:type="dxa"/>
            <w:vAlign w:val="center"/>
          </w:tcPr>
          <w:p w14:paraId="5ADC8819" w14:textId="179B9358" w:rsidR="005E7DCF" w:rsidRPr="00B82EA4" w:rsidRDefault="005E7DCF" w:rsidP="001A776D">
            <w:pPr>
              <w:pStyle w:val="Table"/>
              <w:tabs>
                <w:tab w:val="clear" w:pos="720"/>
                <w:tab w:val="decimal" w:pos="1322"/>
              </w:tabs>
            </w:pPr>
            <w:r w:rsidRPr="00B82EA4">
              <w:rPr>
                <w:color w:val="0000D4"/>
                <w:szCs w:val="22"/>
              </w:rPr>
              <w:t xml:space="preserve"> +  2,763</w:t>
            </w:r>
          </w:p>
        </w:tc>
      </w:tr>
      <w:tr w:rsidR="005E7DCF" w14:paraId="2BA3F988" w14:textId="77777777" w:rsidTr="00C66207">
        <w:trPr>
          <w:jc w:val="center"/>
        </w:trPr>
        <w:tc>
          <w:tcPr>
            <w:tcW w:w="2160" w:type="dxa"/>
          </w:tcPr>
          <w:p w14:paraId="06EE888E" w14:textId="77777777" w:rsidR="005E7DCF" w:rsidRDefault="005E7DCF" w:rsidP="001A776D">
            <w:pPr>
              <w:pStyle w:val="Table"/>
            </w:pPr>
            <w:r>
              <w:t xml:space="preserve">WPD </w:t>
            </w:r>
            <w:proofErr w:type="spellStart"/>
            <w:r>
              <w:t>SWest</w:t>
            </w:r>
            <w:proofErr w:type="spellEnd"/>
          </w:p>
        </w:tc>
        <w:tc>
          <w:tcPr>
            <w:tcW w:w="2160" w:type="dxa"/>
            <w:vAlign w:val="bottom"/>
          </w:tcPr>
          <w:p w14:paraId="070C3AF6" w14:textId="77777777" w:rsidR="005E7DCF" w:rsidRPr="00B82EA4" w:rsidRDefault="005E7DCF" w:rsidP="001A776D">
            <w:pPr>
              <w:pStyle w:val="Table"/>
              <w:tabs>
                <w:tab w:val="clear" w:pos="720"/>
                <w:tab w:val="decimal" w:pos="1322"/>
              </w:tabs>
            </w:pPr>
            <w:r w:rsidRPr="00B82EA4">
              <w:rPr>
                <w:color w:val="000000"/>
                <w:szCs w:val="22"/>
              </w:rPr>
              <w:t xml:space="preserve"> 10,558 </w:t>
            </w:r>
          </w:p>
        </w:tc>
        <w:tc>
          <w:tcPr>
            <w:tcW w:w="2160" w:type="dxa"/>
            <w:vAlign w:val="bottom"/>
          </w:tcPr>
          <w:p w14:paraId="5F5967FF" w14:textId="15388518"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13,246 </w:t>
            </w:r>
          </w:p>
        </w:tc>
        <w:tc>
          <w:tcPr>
            <w:tcW w:w="2160" w:type="dxa"/>
            <w:vAlign w:val="center"/>
          </w:tcPr>
          <w:p w14:paraId="7B3E99EC" w14:textId="5F65CC3F" w:rsidR="005E7DCF" w:rsidRPr="00B82EA4" w:rsidRDefault="005E7DCF" w:rsidP="001A776D">
            <w:pPr>
              <w:pStyle w:val="Table"/>
              <w:tabs>
                <w:tab w:val="clear" w:pos="720"/>
                <w:tab w:val="decimal" w:pos="1322"/>
              </w:tabs>
            </w:pPr>
            <w:r w:rsidRPr="00B82EA4">
              <w:rPr>
                <w:color w:val="0000D4"/>
                <w:szCs w:val="22"/>
              </w:rPr>
              <w:t xml:space="preserve"> +  2,689</w:t>
            </w:r>
          </w:p>
        </w:tc>
      </w:tr>
      <w:tr w:rsidR="005E7DCF" w14:paraId="2376D433" w14:textId="77777777" w:rsidTr="00C66207">
        <w:trPr>
          <w:jc w:val="center"/>
        </w:trPr>
        <w:tc>
          <w:tcPr>
            <w:tcW w:w="2160" w:type="dxa"/>
          </w:tcPr>
          <w:p w14:paraId="4CA8A78E" w14:textId="77777777" w:rsidR="005E7DCF" w:rsidRDefault="005E7DCF" w:rsidP="001A776D">
            <w:pPr>
              <w:pStyle w:val="Table"/>
            </w:pPr>
            <w:r>
              <w:t xml:space="preserve">WPD </w:t>
            </w:r>
            <w:proofErr w:type="spellStart"/>
            <w:r>
              <w:t>WestM</w:t>
            </w:r>
            <w:proofErr w:type="spellEnd"/>
          </w:p>
        </w:tc>
        <w:tc>
          <w:tcPr>
            <w:tcW w:w="2160" w:type="dxa"/>
            <w:vAlign w:val="bottom"/>
          </w:tcPr>
          <w:p w14:paraId="527E7605" w14:textId="77777777" w:rsidR="005E7DCF" w:rsidRPr="00B82EA4" w:rsidRDefault="005E7DCF" w:rsidP="001A776D">
            <w:pPr>
              <w:pStyle w:val="Table"/>
              <w:tabs>
                <w:tab w:val="clear" w:pos="720"/>
                <w:tab w:val="decimal" w:pos="1322"/>
              </w:tabs>
            </w:pPr>
            <w:r w:rsidRPr="00B82EA4">
              <w:rPr>
                <w:color w:val="000000"/>
                <w:szCs w:val="22"/>
              </w:rPr>
              <w:t xml:space="preserve"> 7,702 </w:t>
            </w:r>
          </w:p>
        </w:tc>
        <w:tc>
          <w:tcPr>
            <w:tcW w:w="2160" w:type="dxa"/>
            <w:vAlign w:val="bottom"/>
          </w:tcPr>
          <w:p w14:paraId="4D508F0E" w14:textId="34569C99" w:rsidR="005E7DCF" w:rsidRPr="00B82EA4" w:rsidRDefault="005E7DCF" w:rsidP="001A776D">
            <w:pPr>
              <w:pStyle w:val="Table"/>
              <w:tabs>
                <w:tab w:val="clear" w:pos="720"/>
                <w:tab w:val="decimal" w:pos="1322"/>
              </w:tabs>
              <w:rPr>
                <w:color w:val="0000D4"/>
                <w:szCs w:val="22"/>
              </w:rPr>
            </w:pPr>
            <w:r w:rsidRPr="00B82EA4">
              <w:rPr>
                <w:color w:val="000000"/>
                <w:szCs w:val="22"/>
              </w:rPr>
              <w:t xml:space="preserve"> 8,837 </w:t>
            </w:r>
          </w:p>
        </w:tc>
        <w:tc>
          <w:tcPr>
            <w:tcW w:w="2160" w:type="dxa"/>
            <w:vAlign w:val="center"/>
          </w:tcPr>
          <w:p w14:paraId="58828D62" w14:textId="03F79D0C" w:rsidR="005E7DCF" w:rsidRPr="00B82EA4" w:rsidRDefault="005E7DCF" w:rsidP="001A776D">
            <w:pPr>
              <w:pStyle w:val="Table"/>
              <w:tabs>
                <w:tab w:val="clear" w:pos="720"/>
                <w:tab w:val="decimal" w:pos="1322"/>
              </w:tabs>
            </w:pPr>
            <w:r w:rsidRPr="00B82EA4">
              <w:rPr>
                <w:color w:val="0000D4"/>
                <w:szCs w:val="22"/>
              </w:rPr>
              <w:t xml:space="preserve"> +  1,135</w:t>
            </w:r>
          </w:p>
        </w:tc>
      </w:tr>
    </w:tbl>
    <w:p w14:paraId="20B77C13" w14:textId="77777777" w:rsidR="001A776D" w:rsidRDefault="001A776D" w:rsidP="001A776D">
      <w:pPr>
        <w:pStyle w:val="TableLastNote"/>
      </w:pPr>
    </w:p>
    <w:p w14:paraId="0786C530" w14:textId="6C308FDC" w:rsidR="00FE64E5" w:rsidRDefault="00673DFE" w:rsidP="00FE64E5">
      <w:pPr>
        <w:pStyle w:val="Heading2"/>
      </w:pPr>
      <w:r>
        <w:lastRenderedPageBreak/>
        <w:t xml:space="preserve">What </w:t>
      </w:r>
      <w:r w:rsidR="001A776D">
        <w:t xml:space="preserve">are the other </w:t>
      </w:r>
      <w:r>
        <w:t>impact</w:t>
      </w:r>
      <w:r w:rsidR="001A776D">
        <w:t>s</w:t>
      </w:r>
      <w:r w:rsidR="00C1567D">
        <w:t xml:space="preserve"> of the introduction of the new tariffs</w:t>
      </w:r>
      <w:r>
        <w:t>?</w:t>
      </w:r>
    </w:p>
    <w:p w14:paraId="7C8D41B5" w14:textId="77777777" w:rsidR="00D254EB" w:rsidRDefault="00D254EB" w:rsidP="00D254EB">
      <w:pPr>
        <w:pStyle w:val="Text"/>
      </w:pPr>
      <w:r>
        <w:t xml:space="preserve">Under the new tariffs, units would be charged using the DNO’s “red”, “amber” and “green” </w:t>
      </w:r>
      <w:proofErr w:type="spellStart"/>
      <w:r>
        <w:t>timebands</w:t>
      </w:r>
      <w:proofErr w:type="spellEnd"/>
      <w:r>
        <w:t xml:space="preserve"> in a similar way as other half hourly tariffs, but they would not include separate charges for Maximum Import Capacity (kVA) and for excess reactive power (</w:t>
      </w:r>
      <w:proofErr w:type="spellStart"/>
      <w:r>
        <w:t>kVArh</w:t>
      </w:r>
      <w:proofErr w:type="spellEnd"/>
      <w:r>
        <w:t>).</w:t>
      </w:r>
    </w:p>
    <w:p w14:paraId="5D611FB6" w14:textId="77777777" w:rsidR="00D254EB" w:rsidRDefault="00D254EB" w:rsidP="00D254EB">
      <w:pPr>
        <w:pStyle w:val="Text"/>
      </w:pPr>
      <w:r>
        <w:t xml:space="preserve">The principle underpinning the new tariffs is that they should be equivalent, on average, to </w:t>
      </w:r>
      <w:proofErr w:type="gramStart"/>
      <w:r>
        <w:t>non half</w:t>
      </w:r>
      <w:proofErr w:type="gramEnd"/>
      <w:r>
        <w:t xml:space="preserve"> hourly domestic or, respectively, small business tariffs.  The charge for any customer or category of customers may nevertheless be very different, depending on how the pattern of use recorded in half hourly data compares with the profile assumptions made in the case of </w:t>
      </w:r>
      <w:proofErr w:type="gramStart"/>
      <w:r>
        <w:t>non half</w:t>
      </w:r>
      <w:proofErr w:type="gramEnd"/>
      <w:r>
        <w:t xml:space="preserve"> hourly metering.</w:t>
      </w:r>
    </w:p>
    <w:p w14:paraId="197CC0B8" w14:textId="0C3D2A96" w:rsidR="00FE64E5" w:rsidRDefault="00FE64E5" w:rsidP="00FE64E5">
      <w:pPr>
        <w:pStyle w:val="Text"/>
      </w:pPr>
      <w:r>
        <w:t>For most customers, there is no immediate impact from the changes.</w:t>
      </w:r>
      <w:r w:rsidR="00C1567D">
        <w:t xml:space="preserve">  Existing tariffs are not materially affected by the introduction of the new tariffs.</w:t>
      </w:r>
    </w:p>
    <w:p w14:paraId="55377905" w14:textId="397323F1" w:rsidR="001A776D" w:rsidRDefault="00FE64E5" w:rsidP="00FE64E5">
      <w:pPr>
        <w:pStyle w:val="Text"/>
      </w:pPr>
      <w:r>
        <w:t xml:space="preserve">For any customers </w:t>
      </w:r>
      <w:r w:rsidR="00C1567D">
        <w:t xml:space="preserve">that move </w:t>
      </w:r>
      <w:r>
        <w:t xml:space="preserve">from </w:t>
      </w:r>
      <w:proofErr w:type="gramStart"/>
      <w:r>
        <w:t>non half</w:t>
      </w:r>
      <w:proofErr w:type="gramEnd"/>
      <w:r>
        <w:t xml:space="preserve"> hourly settlement to half hourly settlement on the new tariffs, the impact </w:t>
      </w:r>
      <w:r w:rsidR="00C1567D">
        <w:t xml:space="preserve">on network charges </w:t>
      </w:r>
      <w:r>
        <w:t>will depend on individual consumption patterns.</w:t>
      </w:r>
      <w:r w:rsidR="001A776D">
        <w:t xml:space="preserve">  The effect might be particularly detrimental to customers with a low load factor (such as station demand of generators) moving from a non half hourly tariff to a half hourly tariff with explicit capacity charges.</w:t>
      </w:r>
    </w:p>
    <w:p w14:paraId="7C357CED" w14:textId="77777777" w:rsidR="001A776D" w:rsidRDefault="001A776D" w:rsidP="00FE64E5">
      <w:pPr>
        <w:pStyle w:val="Text"/>
      </w:pPr>
      <w:r>
        <w:t xml:space="preserve">Any requirement </w:t>
      </w:r>
      <w:r w:rsidR="00C1567D">
        <w:t>to move</w:t>
      </w:r>
      <w:r w:rsidR="00C1567D" w:rsidRPr="00C1567D">
        <w:t xml:space="preserve"> </w:t>
      </w:r>
      <w:r w:rsidR="00C1567D">
        <w:t xml:space="preserve">from </w:t>
      </w:r>
      <w:proofErr w:type="gramStart"/>
      <w:r w:rsidR="00C1567D">
        <w:t>non half</w:t>
      </w:r>
      <w:proofErr w:type="gramEnd"/>
      <w:r w:rsidR="00C1567D">
        <w:t xml:space="preserve"> hourly settlement to half hourly settlement </w:t>
      </w:r>
      <w:r>
        <w:t xml:space="preserve">would come from </w:t>
      </w:r>
      <w:r w:rsidR="00C1567D">
        <w:t>Ofgem’s apparent policy to encourage half hourly settlement of smart and advanced meters (for details, look for Ofgem documents related to Balancing and Settlement Code change P272)</w:t>
      </w:r>
      <w:r>
        <w:t xml:space="preserve"> and not from the DCP 179 proposals</w:t>
      </w:r>
      <w:r w:rsidR="00C1567D">
        <w:t>.</w:t>
      </w:r>
    </w:p>
    <w:p w14:paraId="74BB2A07" w14:textId="77777777" w:rsidR="00673DFE" w:rsidRDefault="00673DFE" w:rsidP="00355C86">
      <w:pPr>
        <w:pStyle w:val="Heading2"/>
      </w:pPr>
      <w:r>
        <w:t>How to make your voice heard</w:t>
      </w:r>
    </w:p>
    <w:p w14:paraId="27FB8E16" w14:textId="77777777" w:rsidR="001A776D" w:rsidRDefault="001A776D" w:rsidP="001A776D">
      <w:pPr>
        <w:pStyle w:val="Text"/>
        <w:numPr>
          <w:ilvl w:val="1"/>
          <w:numId w:val="3"/>
        </w:numPr>
      </w:pPr>
      <w:r>
        <w:t>The proposed change is under DCUSA, a governance regime overseen by Ofgem.</w:t>
      </w:r>
    </w:p>
    <w:p w14:paraId="78869E75" w14:textId="77777777" w:rsidR="001A776D" w:rsidRDefault="001A776D" w:rsidP="001A776D">
      <w:pPr>
        <w:pStyle w:val="Text"/>
        <w:numPr>
          <w:ilvl w:val="1"/>
          <w:numId w:val="3"/>
        </w:numPr>
      </w:pPr>
      <w:r>
        <w:t>This change will only be made if Ofgem approves it.  There is a risk that Ofgem may rely on the DCUSA consultation responses as a complete record of concerns, and take a decision without any further consultation.  If there are no or few customer responses to the DCUSA consultation, then the change may go through by default.</w:t>
      </w:r>
    </w:p>
    <w:p w14:paraId="24F3835A" w14:textId="77777777" w:rsidR="002F4923" w:rsidRDefault="002F4923" w:rsidP="002F4923">
      <w:pPr>
        <w:pStyle w:val="Heading2"/>
      </w:pPr>
      <w:r>
        <w:t>For more information about this alert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320"/>
      </w:tblGrid>
      <w:tr w:rsidR="002F4923" w14:paraId="3F6040A3" w14:textId="77777777" w:rsidTr="00DB4CBC">
        <w:tc>
          <w:tcPr>
            <w:tcW w:w="2520" w:type="dxa"/>
          </w:tcPr>
          <w:p w14:paraId="2D02C992" w14:textId="77777777" w:rsidR="002F4923" w:rsidRDefault="002F4923" w:rsidP="00DB4CBC">
            <w:pPr>
              <w:pStyle w:val="Table"/>
              <w:jc w:val="center"/>
            </w:pPr>
            <w:r w:rsidRPr="00364B9A">
              <w:rPr>
                <w:noProof/>
                <w:lang w:val="en-US" w:bidi="ar-SA"/>
              </w:rPr>
              <w:drawing>
                <wp:inline distT="0" distB="0" distL="0" distR="0" wp14:anchorId="1FA28ED2" wp14:editId="3A4DD0AD">
                  <wp:extent cx="1092200" cy="1092200"/>
                  <wp:effectExtent l="0" t="0" r="0" b="0"/>
                  <wp:docPr id="12" name="Picture 12" descr="Macintosh HD:Users:franck:Documents:Today:Marketing:36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ck:Documents:Today:Marketing:360x36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4320" w:type="dxa"/>
          </w:tcPr>
          <w:p w14:paraId="5EFBB084" w14:textId="77777777" w:rsidR="002F4923" w:rsidRDefault="002F4923" w:rsidP="00DB4CBC">
            <w:pPr>
              <w:pStyle w:val="Table"/>
              <w:rPr>
                <w:b/>
              </w:rPr>
            </w:pPr>
            <w:r w:rsidRPr="00E70261">
              <w:rPr>
                <w:b/>
              </w:rPr>
              <w:t>Franck Latrémolière</w:t>
            </w:r>
          </w:p>
          <w:p w14:paraId="78AFA6EB" w14:textId="77777777" w:rsidR="002F4923" w:rsidRDefault="002F4923" w:rsidP="00DB4CBC">
            <w:pPr>
              <w:pStyle w:val="Table"/>
              <w:rPr>
                <w:b/>
              </w:rPr>
            </w:pPr>
            <w:r w:rsidRPr="00E70261">
              <w:rPr>
                <w:b/>
              </w:rPr>
              <w:t>Reckon LLP</w:t>
            </w:r>
          </w:p>
          <w:p w14:paraId="05A385F4" w14:textId="77777777" w:rsidR="002F4923" w:rsidRPr="00E70261" w:rsidRDefault="002F4923" w:rsidP="00DB4CBC">
            <w:pPr>
              <w:pStyle w:val="Table"/>
              <w:rPr>
                <w:b/>
              </w:rPr>
            </w:pPr>
          </w:p>
          <w:p w14:paraId="6D56896D" w14:textId="77777777" w:rsidR="002F4923" w:rsidRDefault="002F4923" w:rsidP="00DB4CBC">
            <w:pPr>
              <w:pStyle w:val="Table"/>
              <w:rPr>
                <w:b/>
              </w:rPr>
            </w:pPr>
            <w:r w:rsidRPr="00E70261">
              <w:rPr>
                <w:b/>
              </w:rPr>
              <w:t>Telephone: 020 7841 5858</w:t>
            </w:r>
          </w:p>
          <w:p w14:paraId="2BE305BF" w14:textId="77777777" w:rsidR="002F4923" w:rsidRPr="00E871CE" w:rsidRDefault="002F4923" w:rsidP="00DB4CBC">
            <w:pPr>
              <w:pStyle w:val="Table"/>
              <w:rPr>
                <w:b/>
              </w:rPr>
            </w:pPr>
            <w:r w:rsidRPr="00E70261">
              <w:rPr>
                <w:b/>
              </w:rPr>
              <w:t xml:space="preserve">Email: </w:t>
            </w:r>
            <w:hyperlink r:id="rId12" w:history="1">
              <w:r w:rsidRPr="00E70261">
                <w:rPr>
                  <w:rStyle w:val="Hyperlink"/>
                  <w:b/>
                </w:rPr>
                <w:t>f20@reckon.co.uk</w:t>
              </w:r>
            </w:hyperlink>
          </w:p>
        </w:tc>
      </w:tr>
    </w:tbl>
    <w:p w14:paraId="6A9C754B" w14:textId="77777777" w:rsidR="002F4923" w:rsidRDefault="002F4923" w:rsidP="002F4923">
      <w:pPr>
        <w:spacing w:after="0"/>
        <w:jc w:val="left"/>
      </w:pPr>
    </w:p>
    <w:p w14:paraId="0F4CB469" w14:textId="77777777" w:rsidR="002F4923" w:rsidRPr="00E53CA7" w:rsidRDefault="002F4923" w:rsidP="002F4923">
      <w:pPr>
        <w:pStyle w:val="Text"/>
        <w:numPr>
          <w:ilvl w:val="1"/>
          <w:numId w:val="3"/>
        </w:numPr>
      </w:pPr>
      <w:r>
        <w:t xml:space="preserve">There is nothing confidential in this alert.  Feel free to pass it on to others who might be interested or to include it with any consultation response you make.  Microsoft Word and PDF versions of this alert, and of any further updates on this topic or other areas of interest to electricity customers, can be found at </w:t>
      </w:r>
      <w:r w:rsidRPr="00E53CA7">
        <w:rPr>
          <w:b/>
        </w:rPr>
        <w:t>http://dcmf.co.uk/alerts</w:t>
      </w:r>
      <w:r>
        <w:t>.</w:t>
      </w:r>
    </w:p>
    <w:sectPr w:rsidR="002F4923" w:rsidRPr="00E53CA7" w:rsidSect="00A5429F">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835"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914BF" w14:textId="77777777" w:rsidR="001A776D" w:rsidRDefault="001A776D" w:rsidP="00932267">
      <w:pPr>
        <w:spacing w:after="0"/>
      </w:pPr>
      <w:r>
        <w:separator/>
      </w:r>
    </w:p>
  </w:endnote>
  <w:endnote w:type="continuationSeparator" w:id="0">
    <w:p w14:paraId="0ED3E642" w14:textId="77777777" w:rsidR="001A776D" w:rsidRDefault="001A776D" w:rsidP="00932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Mincho">
    <w:altName w:val="‚l‚r –_’©"/>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ÇlÇr ÉSÉVÉbÉN"/>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A275" w14:textId="77777777" w:rsidR="001A776D" w:rsidRDefault="001A77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042A" w14:textId="5CCB98AC" w:rsidR="001A776D" w:rsidRDefault="001A776D">
    <w:pPr>
      <w:pStyle w:val="Footer"/>
    </w:pPr>
    <w:proofErr w:type="gramStart"/>
    <w:r>
      <w:t>dcmf.co.uk</w:t>
    </w:r>
    <w:proofErr w:type="gramEnd"/>
    <w:r>
      <w:t>/alerts</w:t>
    </w:r>
    <w:r w:rsidRPr="008021FC">
      <w:tab/>
    </w:r>
    <w:r>
      <w:fldChar w:fldCharType="begin"/>
    </w:r>
    <w:r>
      <w:instrText xml:space="preserve"> PAGE  \* MERGEFORMAT </w:instrText>
    </w:r>
    <w:r>
      <w:fldChar w:fldCharType="separate"/>
    </w:r>
    <w:r w:rsidR="004E3DEA">
      <w:rPr>
        <w:noProof/>
      </w:rP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51E00" w14:textId="77777777" w:rsidR="001A776D" w:rsidRDefault="001A77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D9320" w14:textId="77777777" w:rsidR="001A776D" w:rsidRDefault="001A776D" w:rsidP="00932267">
      <w:pPr>
        <w:spacing w:after="0"/>
      </w:pPr>
      <w:r>
        <w:separator/>
      </w:r>
    </w:p>
  </w:footnote>
  <w:footnote w:type="continuationSeparator" w:id="0">
    <w:p w14:paraId="616A2B4F" w14:textId="77777777" w:rsidR="001A776D" w:rsidRDefault="001A776D" w:rsidP="0093226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CC625" w14:textId="77777777" w:rsidR="001A776D" w:rsidRDefault="001A776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F9320" w14:textId="77777777" w:rsidR="001A776D" w:rsidRDefault="001A776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0073" w14:textId="77777777" w:rsidR="001A776D" w:rsidRDefault="001A77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4258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3">
    <w:nsid w:val="1FB87DBC"/>
    <w:multiLevelType w:val="multilevel"/>
    <w:tmpl w:val="D7F8D2B4"/>
    <w:lvl w:ilvl="0">
      <w:start w:val="1"/>
      <w:numFmt w:val="none"/>
      <w:pStyle w:val="Masthead"/>
      <w:suff w:val="nothing"/>
      <w:lvlText w:val=""/>
      <w:lvlJc w:val="left"/>
      <w:rPr>
        <w:rFonts w:hint="default"/>
      </w:rPr>
    </w:lvl>
    <w:lvl w:ilvl="1">
      <w:start w:val="1"/>
      <w:numFmt w:val="decimal"/>
      <w:lvlRestart w:val="0"/>
      <w:pStyle w:val="Text"/>
      <w:lvlText w:val="%2."/>
      <w:lvlJc w:val="left"/>
      <w:pPr>
        <w:tabs>
          <w:tab w:val="num" w:pos="720"/>
        </w:tabs>
        <w:ind w:left="720" w:hanging="720"/>
      </w:pPr>
      <w:rPr>
        <w:rFonts w:hint="default"/>
      </w:rPr>
    </w:lvl>
    <w:lvl w:ilvl="2">
      <w:start w:val="1"/>
      <w:numFmt w:val="lowerLetter"/>
      <w:pStyle w:val="ListBullet"/>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7F5B2626"/>
    <w:multiLevelType w:val="multilevel"/>
    <w:tmpl w:val="31B07D0A"/>
    <w:lvl w:ilvl="0">
      <w:start w:val="1"/>
      <w:numFmt w:val="decimal"/>
      <w:lvlText w:val="%1"/>
      <w:lvlJc w:val="left"/>
      <w:pPr>
        <w:tabs>
          <w:tab w:val="num" w:pos="432"/>
        </w:tabs>
        <w:ind w:left="432" w:hanging="432"/>
      </w:pPr>
      <w:rPr>
        <w:rFonts w:cs="Times New Roman"/>
        <w:b/>
        <w:sz w:val="22"/>
        <w:szCs w:val="22"/>
      </w:rPr>
    </w:lvl>
    <w:lvl w:ilvl="1">
      <w:start w:val="1"/>
      <w:numFmt w:val="bullet"/>
      <w:lvlText w:val=""/>
      <w:lvlJc w:val="left"/>
      <w:pPr>
        <w:tabs>
          <w:tab w:val="num" w:pos="860"/>
        </w:tabs>
        <w:ind w:left="860" w:hanging="576"/>
      </w:pPr>
      <w:rPr>
        <w:rFonts w:hAnsi="Symbol" w:hint="default"/>
        <w:b w:val="0"/>
        <w:i w:val="0"/>
        <w:smallCaps w:val="0"/>
        <w: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2"/>
  </w:num>
  <w:num w:numId="2">
    <w:abstractNumId w:val="1"/>
  </w:num>
  <w:num w:numId="3">
    <w:abstractNumId w:val="3"/>
  </w:num>
  <w:num w:numId="4">
    <w:abstractNumId w:val="2"/>
  </w:num>
  <w:num w:numId="5">
    <w:abstractNumId w:val="3"/>
  </w:num>
  <w:num w:numId="6">
    <w:abstractNumId w:val="1"/>
  </w:num>
  <w:num w:numId="7">
    <w:abstractNumId w:val="3"/>
  </w:num>
  <w:num w:numId="8">
    <w:abstractNumId w:val="3"/>
  </w:num>
  <w:num w:numId="9">
    <w:abstractNumId w:val="3"/>
  </w:num>
  <w:num w:numId="10">
    <w:abstractNumId w:val="3"/>
  </w:num>
  <w:num w:numId="11">
    <w:abstractNumId w:val="3"/>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47E33"/>
    <w:rsid w:val="00027422"/>
    <w:rsid w:val="000669E4"/>
    <w:rsid w:val="0009427D"/>
    <w:rsid w:val="000E0E10"/>
    <w:rsid w:val="00103AFF"/>
    <w:rsid w:val="00123576"/>
    <w:rsid w:val="00124EB3"/>
    <w:rsid w:val="001379BE"/>
    <w:rsid w:val="00137EB9"/>
    <w:rsid w:val="001653E9"/>
    <w:rsid w:val="001A29EF"/>
    <w:rsid w:val="001A76F5"/>
    <w:rsid w:val="001A776D"/>
    <w:rsid w:val="001C4608"/>
    <w:rsid w:val="001D6D28"/>
    <w:rsid w:val="001D7C66"/>
    <w:rsid w:val="001F7B77"/>
    <w:rsid w:val="00240747"/>
    <w:rsid w:val="00262D52"/>
    <w:rsid w:val="002B65B0"/>
    <w:rsid w:val="002F4923"/>
    <w:rsid w:val="00355C86"/>
    <w:rsid w:val="00393C0B"/>
    <w:rsid w:val="003D055C"/>
    <w:rsid w:val="003D3709"/>
    <w:rsid w:val="003E2A14"/>
    <w:rsid w:val="004147B7"/>
    <w:rsid w:val="00462C3E"/>
    <w:rsid w:val="004661C2"/>
    <w:rsid w:val="004C16B4"/>
    <w:rsid w:val="004D3891"/>
    <w:rsid w:val="004E3DEA"/>
    <w:rsid w:val="004E6A88"/>
    <w:rsid w:val="005423EE"/>
    <w:rsid w:val="005514A8"/>
    <w:rsid w:val="00563FA8"/>
    <w:rsid w:val="00585E95"/>
    <w:rsid w:val="00586712"/>
    <w:rsid w:val="005B187D"/>
    <w:rsid w:val="005E7DCF"/>
    <w:rsid w:val="005F375E"/>
    <w:rsid w:val="005F4B16"/>
    <w:rsid w:val="00616C2F"/>
    <w:rsid w:val="00616E88"/>
    <w:rsid w:val="00631F58"/>
    <w:rsid w:val="00645813"/>
    <w:rsid w:val="00654360"/>
    <w:rsid w:val="00671F50"/>
    <w:rsid w:val="00673DFE"/>
    <w:rsid w:val="0067426E"/>
    <w:rsid w:val="00677898"/>
    <w:rsid w:val="00687E15"/>
    <w:rsid w:val="00692D3E"/>
    <w:rsid w:val="006A4E0E"/>
    <w:rsid w:val="006C6CAD"/>
    <w:rsid w:val="006C74D5"/>
    <w:rsid w:val="00765C32"/>
    <w:rsid w:val="007A1C31"/>
    <w:rsid w:val="007A58EC"/>
    <w:rsid w:val="007B4632"/>
    <w:rsid w:val="007D4949"/>
    <w:rsid w:val="007F4420"/>
    <w:rsid w:val="007F577C"/>
    <w:rsid w:val="00800938"/>
    <w:rsid w:val="008137C8"/>
    <w:rsid w:val="00825B61"/>
    <w:rsid w:val="00830F73"/>
    <w:rsid w:val="008620BE"/>
    <w:rsid w:val="00887D4D"/>
    <w:rsid w:val="008A05A5"/>
    <w:rsid w:val="008A222C"/>
    <w:rsid w:val="008A4F7C"/>
    <w:rsid w:val="008C0EF0"/>
    <w:rsid w:val="00930C22"/>
    <w:rsid w:val="00932267"/>
    <w:rsid w:val="0095680E"/>
    <w:rsid w:val="00961F54"/>
    <w:rsid w:val="00975266"/>
    <w:rsid w:val="00992466"/>
    <w:rsid w:val="009A0638"/>
    <w:rsid w:val="009D4536"/>
    <w:rsid w:val="009F1DB7"/>
    <w:rsid w:val="009F50F0"/>
    <w:rsid w:val="009F6360"/>
    <w:rsid w:val="009F7DD0"/>
    <w:rsid w:val="00A045BC"/>
    <w:rsid w:val="00A05CB4"/>
    <w:rsid w:val="00A5429F"/>
    <w:rsid w:val="00A65744"/>
    <w:rsid w:val="00AD39C5"/>
    <w:rsid w:val="00AD478C"/>
    <w:rsid w:val="00AD5EE9"/>
    <w:rsid w:val="00B0663C"/>
    <w:rsid w:val="00B06763"/>
    <w:rsid w:val="00B31B53"/>
    <w:rsid w:val="00B37C43"/>
    <w:rsid w:val="00B47E33"/>
    <w:rsid w:val="00B572C0"/>
    <w:rsid w:val="00B80214"/>
    <w:rsid w:val="00B82EA4"/>
    <w:rsid w:val="00BA6D23"/>
    <w:rsid w:val="00C11E19"/>
    <w:rsid w:val="00C1567D"/>
    <w:rsid w:val="00C23E0B"/>
    <w:rsid w:val="00C273EE"/>
    <w:rsid w:val="00CC629D"/>
    <w:rsid w:val="00CD59B8"/>
    <w:rsid w:val="00CF3C56"/>
    <w:rsid w:val="00D1009D"/>
    <w:rsid w:val="00D254EB"/>
    <w:rsid w:val="00D62425"/>
    <w:rsid w:val="00D67CA8"/>
    <w:rsid w:val="00D844C1"/>
    <w:rsid w:val="00D944ED"/>
    <w:rsid w:val="00DB4CBC"/>
    <w:rsid w:val="00DD3A99"/>
    <w:rsid w:val="00DE03CF"/>
    <w:rsid w:val="00E10DA0"/>
    <w:rsid w:val="00E17320"/>
    <w:rsid w:val="00E44788"/>
    <w:rsid w:val="00E479CF"/>
    <w:rsid w:val="00E70261"/>
    <w:rsid w:val="00E812AD"/>
    <w:rsid w:val="00E871CE"/>
    <w:rsid w:val="00E9361D"/>
    <w:rsid w:val="00EB1123"/>
    <w:rsid w:val="00ED53D0"/>
    <w:rsid w:val="00F215C5"/>
    <w:rsid w:val="00F377F2"/>
    <w:rsid w:val="00F75AF7"/>
    <w:rsid w:val="00F90161"/>
    <w:rsid w:val="00FB3676"/>
    <w:rsid w:val="00FD3EA9"/>
    <w:rsid w:val="00FE64E5"/>
    <w:rsid w:val="00FE6614"/>
    <w:rsid w:val="00FF3BC3"/>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7ADA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link w:val="Heading2Char"/>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character" w:customStyle="1" w:styleId="Heading2Char">
    <w:name w:val="Heading 2 Char"/>
    <w:basedOn w:val="DefaultParagraphFont"/>
    <w:link w:val="Heading2"/>
    <w:rsid w:val="002F4923"/>
    <w:rPr>
      <w:rFonts w:ascii="Arial" w:hAnsi="Arial"/>
      <w:b/>
      <w:color w:val="333333"/>
      <w:sz w:val="22"/>
      <w:lang w:val="en-GB"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link w:val="Heading2Char"/>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character" w:customStyle="1" w:styleId="Heading2Char">
    <w:name w:val="Heading 2 Char"/>
    <w:basedOn w:val="DefaultParagraphFont"/>
    <w:link w:val="Heading2"/>
    <w:rsid w:val="002F4923"/>
    <w:rPr>
      <w:rFonts w:ascii="Arial" w:hAnsi="Arial"/>
      <w:b/>
      <w:color w:val="333333"/>
      <w:sz w:val="22"/>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041">
      <w:bodyDiv w:val="1"/>
      <w:marLeft w:val="0"/>
      <w:marRight w:val="0"/>
      <w:marTop w:val="0"/>
      <w:marBottom w:val="0"/>
      <w:divBdr>
        <w:top w:val="none" w:sz="0" w:space="0" w:color="auto"/>
        <w:left w:val="none" w:sz="0" w:space="0" w:color="auto"/>
        <w:bottom w:val="none" w:sz="0" w:space="0" w:color="auto"/>
        <w:right w:val="none" w:sz="0" w:space="0" w:color="auto"/>
      </w:divBdr>
    </w:div>
    <w:div w:id="1141196175">
      <w:bodyDiv w:val="1"/>
      <w:marLeft w:val="0"/>
      <w:marRight w:val="0"/>
      <w:marTop w:val="0"/>
      <w:marBottom w:val="0"/>
      <w:divBdr>
        <w:top w:val="none" w:sz="0" w:space="0" w:color="auto"/>
        <w:left w:val="none" w:sz="0" w:space="0" w:color="auto"/>
        <w:bottom w:val="none" w:sz="0" w:space="0" w:color="auto"/>
        <w:right w:val="none" w:sz="0" w:space="0" w:color="auto"/>
      </w:divBdr>
    </w:div>
    <w:div w:id="1566985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hyperlink" Target="mailto:f20@reckon.co.uk"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6109</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3</cp:revision>
  <cp:lastPrinted>2014-06-11T13:39:00Z</cp:lastPrinted>
  <dcterms:created xsi:type="dcterms:W3CDTF">2014-06-11T13:39:00Z</dcterms:created>
  <dcterms:modified xsi:type="dcterms:W3CDTF">2014-06-11T13:39:00Z</dcterms:modified>
  <cp:category/>
</cp:coreProperties>
</file>