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022E86" w14:textId="587D4B2A" w:rsidR="00355C86" w:rsidRPr="004D3891" w:rsidRDefault="007A58EC" w:rsidP="004D3891">
      <w:pPr>
        <w:pStyle w:val="Masthead"/>
      </w:pPr>
      <w:r w:rsidRPr="004D3891">
        <w:t>Reckon LLP e</w:t>
      </w:r>
      <w:r w:rsidR="00677898" w:rsidRPr="004D3891">
        <w:t>lectricity c</w:t>
      </w:r>
      <w:r w:rsidR="0095680E" w:rsidRPr="004D3891">
        <w:t>ustomer</w:t>
      </w:r>
      <w:r w:rsidR="00355C86" w:rsidRPr="004D3891">
        <w:t xml:space="preserve"> alert</w:t>
      </w:r>
      <w:r w:rsidR="00355C86" w:rsidRPr="004D3891">
        <w:tab/>
        <w:t>DCP 123</w:t>
      </w:r>
      <w:r w:rsidR="00992466" w:rsidRPr="004D3891">
        <w:t xml:space="preserve"> — </w:t>
      </w:r>
      <w:r w:rsidR="005423EE" w:rsidRPr="00AB6F30">
        <w:fldChar w:fldCharType="begin"/>
      </w:r>
      <w:r w:rsidR="005423EE" w:rsidRPr="00AB6F30">
        <w:instrText xml:space="preserve"> SAVEDATE \@ "d MMMM yyyy" </w:instrText>
      </w:r>
      <w:r w:rsidR="005423EE" w:rsidRPr="00AB6F30">
        <w:fldChar w:fldCharType="separate"/>
      </w:r>
      <w:r w:rsidR="00EF17BD">
        <w:rPr>
          <w:noProof/>
        </w:rPr>
        <w:t>17 June 2014</w:t>
      </w:r>
      <w:r w:rsidR="005423EE" w:rsidRPr="00AB6F30">
        <w:fldChar w:fldCharType="end"/>
      </w:r>
    </w:p>
    <w:p w14:paraId="5502D74D" w14:textId="43ABDAEC" w:rsidR="009F50F0" w:rsidRPr="00355C86" w:rsidRDefault="007A58EC" w:rsidP="00355C86">
      <w:pPr>
        <w:pStyle w:val="Heading1"/>
        <w:numPr>
          <w:ilvl w:val="0"/>
          <w:numId w:val="3"/>
        </w:numPr>
        <w:tabs>
          <w:tab w:val="right" w:pos="9000"/>
        </w:tabs>
        <w:spacing w:after="240"/>
        <w:rPr>
          <w:rFonts w:ascii="Arial" w:hAnsi="Arial"/>
          <w:b/>
          <w:color w:val="auto"/>
          <w:szCs w:val="24"/>
        </w:rPr>
      </w:pPr>
      <w:r>
        <w:rPr>
          <w:rFonts w:ascii="Arial" w:hAnsi="Arial"/>
          <w:b/>
          <w:color w:val="auto"/>
          <w:szCs w:val="24"/>
        </w:rPr>
        <w:t xml:space="preserve">Last chance to react </w:t>
      </w:r>
      <w:r w:rsidR="00992466">
        <w:rPr>
          <w:rFonts w:ascii="Arial" w:hAnsi="Arial"/>
          <w:b/>
          <w:color w:val="auto"/>
          <w:szCs w:val="24"/>
        </w:rPr>
        <w:t>to</w:t>
      </w:r>
      <w:r>
        <w:rPr>
          <w:rFonts w:ascii="Arial" w:hAnsi="Arial"/>
          <w:b/>
          <w:color w:val="auto"/>
          <w:szCs w:val="24"/>
        </w:rPr>
        <w:t xml:space="preserve"> e</w:t>
      </w:r>
      <w:r w:rsidR="00B06763">
        <w:rPr>
          <w:rFonts w:ascii="Arial" w:hAnsi="Arial"/>
          <w:b/>
          <w:color w:val="auto"/>
          <w:szCs w:val="24"/>
        </w:rPr>
        <w:t xml:space="preserve">lectricity </w:t>
      </w:r>
      <w:r>
        <w:rPr>
          <w:rFonts w:ascii="Arial" w:hAnsi="Arial"/>
          <w:b/>
          <w:color w:val="auto"/>
          <w:szCs w:val="24"/>
        </w:rPr>
        <w:t xml:space="preserve">industry proposals to impose </w:t>
      </w:r>
      <w:r w:rsidR="00992466">
        <w:rPr>
          <w:rFonts w:ascii="Arial" w:hAnsi="Arial"/>
          <w:b/>
          <w:color w:val="auto"/>
          <w:szCs w:val="24"/>
        </w:rPr>
        <w:t>large</w:t>
      </w:r>
      <w:r>
        <w:rPr>
          <w:rFonts w:ascii="Arial" w:hAnsi="Arial"/>
          <w:b/>
          <w:color w:val="auto"/>
          <w:szCs w:val="24"/>
        </w:rPr>
        <w:t xml:space="preserve"> </w:t>
      </w:r>
      <w:r w:rsidR="00B06763">
        <w:rPr>
          <w:rFonts w:ascii="Arial" w:hAnsi="Arial"/>
          <w:b/>
          <w:color w:val="auto"/>
          <w:szCs w:val="24"/>
        </w:rPr>
        <w:t>increase</w:t>
      </w:r>
      <w:r>
        <w:rPr>
          <w:rFonts w:ascii="Arial" w:hAnsi="Arial"/>
          <w:b/>
          <w:color w:val="auto"/>
          <w:szCs w:val="24"/>
        </w:rPr>
        <w:t>s</w:t>
      </w:r>
      <w:r w:rsidR="00B06763">
        <w:rPr>
          <w:rFonts w:ascii="Arial" w:hAnsi="Arial"/>
          <w:b/>
          <w:color w:val="auto"/>
          <w:szCs w:val="24"/>
        </w:rPr>
        <w:t xml:space="preserve"> in </w:t>
      </w:r>
      <w:r>
        <w:rPr>
          <w:rFonts w:ascii="Arial" w:hAnsi="Arial"/>
          <w:b/>
          <w:color w:val="auto"/>
          <w:szCs w:val="24"/>
        </w:rPr>
        <w:t xml:space="preserve">network </w:t>
      </w:r>
      <w:r w:rsidR="009F50F0" w:rsidRPr="00355C86">
        <w:rPr>
          <w:rFonts w:ascii="Arial" w:hAnsi="Arial"/>
          <w:b/>
          <w:color w:val="auto"/>
          <w:szCs w:val="24"/>
        </w:rPr>
        <w:t>charges for business off-peak use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236"/>
        <w:gridCol w:w="2160"/>
        <w:gridCol w:w="236"/>
        <w:gridCol w:w="2160"/>
        <w:gridCol w:w="236"/>
        <w:gridCol w:w="2160"/>
      </w:tblGrid>
      <w:tr w:rsidR="00645813" w:rsidRPr="008137C8" w14:paraId="53FA1485" w14:textId="77777777" w:rsidTr="00645813">
        <w:trPr>
          <w:jc w:val="center"/>
        </w:trPr>
        <w:tc>
          <w:tcPr>
            <w:tcW w:w="2160" w:type="dxa"/>
            <w:shd w:val="clear" w:color="auto" w:fill="DAEEF3" w:themeFill="accent5" w:themeFillTint="33"/>
            <w:vAlign w:val="bottom"/>
          </w:tcPr>
          <w:p w14:paraId="39E29017" w14:textId="623F8671" w:rsidR="00645813" w:rsidRPr="00616E88" w:rsidRDefault="00645813" w:rsidP="00B06763">
            <w:pPr>
              <w:pStyle w:val="Table"/>
              <w:jc w:val="center"/>
              <w:rPr>
                <w:b/>
                <w:sz w:val="20"/>
              </w:rPr>
            </w:pPr>
            <w:r w:rsidRPr="00616E88">
              <w:rPr>
                <w:b/>
                <w:sz w:val="20"/>
              </w:rPr>
              <w:t>Domestic customers</w:t>
            </w:r>
          </w:p>
        </w:tc>
        <w:tc>
          <w:tcPr>
            <w:tcW w:w="0" w:type="dxa"/>
            <w:shd w:val="clear" w:color="auto" w:fill="auto"/>
          </w:tcPr>
          <w:p w14:paraId="085F30D4" w14:textId="77777777" w:rsidR="00645813" w:rsidRPr="00616E88" w:rsidRDefault="00645813" w:rsidP="00B06763">
            <w:pPr>
              <w:pStyle w:val="Table"/>
              <w:jc w:val="center"/>
              <w:rPr>
                <w:b/>
                <w:sz w:val="20"/>
              </w:rPr>
            </w:pPr>
          </w:p>
        </w:tc>
        <w:tc>
          <w:tcPr>
            <w:tcW w:w="2160" w:type="dxa"/>
            <w:shd w:val="clear" w:color="auto" w:fill="EAF1DD" w:themeFill="accent3" w:themeFillTint="33"/>
            <w:vAlign w:val="bottom"/>
          </w:tcPr>
          <w:p w14:paraId="43BE8305" w14:textId="15AF7D1B" w:rsidR="00645813" w:rsidRPr="00616E88" w:rsidRDefault="00645813" w:rsidP="00B06763">
            <w:pPr>
              <w:pStyle w:val="Table"/>
              <w:jc w:val="center"/>
              <w:rPr>
                <w:b/>
                <w:sz w:val="20"/>
              </w:rPr>
            </w:pPr>
            <w:r w:rsidRPr="00616E88">
              <w:rPr>
                <w:b/>
                <w:sz w:val="20"/>
              </w:rPr>
              <w:t>Non half hourly</w:t>
            </w:r>
            <w:r>
              <w:rPr>
                <w:b/>
                <w:sz w:val="20"/>
              </w:rPr>
              <w:t xml:space="preserve"> business customers</w:t>
            </w:r>
          </w:p>
        </w:tc>
        <w:tc>
          <w:tcPr>
            <w:tcW w:w="0" w:type="dxa"/>
            <w:shd w:val="clear" w:color="auto" w:fill="auto"/>
          </w:tcPr>
          <w:p w14:paraId="7373D6D7" w14:textId="77777777" w:rsidR="00645813" w:rsidRPr="00616E88" w:rsidRDefault="00645813" w:rsidP="00B06763">
            <w:pPr>
              <w:pStyle w:val="Table"/>
              <w:jc w:val="center"/>
              <w:rPr>
                <w:b/>
                <w:sz w:val="20"/>
              </w:rPr>
            </w:pPr>
          </w:p>
        </w:tc>
        <w:tc>
          <w:tcPr>
            <w:tcW w:w="2160" w:type="dxa"/>
            <w:shd w:val="clear" w:color="auto" w:fill="FDE9D9" w:themeFill="accent6" w:themeFillTint="33"/>
            <w:vAlign w:val="bottom"/>
          </w:tcPr>
          <w:p w14:paraId="7EB52749" w14:textId="49198799" w:rsidR="00645813" w:rsidRPr="00616E88" w:rsidRDefault="00645813" w:rsidP="00B06763">
            <w:pPr>
              <w:pStyle w:val="Table"/>
              <w:jc w:val="center"/>
              <w:rPr>
                <w:b/>
                <w:sz w:val="20"/>
              </w:rPr>
            </w:pPr>
            <w:r w:rsidRPr="00616E88">
              <w:rPr>
                <w:b/>
                <w:sz w:val="20"/>
              </w:rPr>
              <w:t>Half hourly CDCM</w:t>
            </w:r>
            <w:r>
              <w:rPr>
                <w:b/>
                <w:sz w:val="20"/>
              </w:rPr>
              <w:t xml:space="preserve"> business customers</w:t>
            </w:r>
          </w:p>
        </w:tc>
        <w:tc>
          <w:tcPr>
            <w:tcW w:w="0" w:type="dxa"/>
            <w:shd w:val="clear" w:color="auto" w:fill="auto"/>
          </w:tcPr>
          <w:p w14:paraId="4C51E395" w14:textId="77777777" w:rsidR="00645813" w:rsidRPr="00616E88" w:rsidRDefault="00645813" w:rsidP="00B06763">
            <w:pPr>
              <w:pStyle w:val="Table"/>
              <w:jc w:val="center"/>
              <w:rPr>
                <w:b/>
                <w:sz w:val="20"/>
              </w:rPr>
            </w:pPr>
          </w:p>
        </w:tc>
        <w:tc>
          <w:tcPr>
            <w:tcW w:w="2160" w:type="dxa"/>
            <w:shd w:val="clear" w:color="auto" w:fill="E5DFEC" w:themeFill="accent4" w:themeFillTint="33"/>
            <w:vAlign w:val="bottom"/>
          </w:tcPr>
          <w:p w14:paraId="06B11EDF" w14:textId="06963A94" w:rsidR="00645813" w:rsidRPr="00616E88" w:rsidRDefault="00645813" w:rsidP="00B06763">
            <w:pPr>
              <w:pStyle w:val="Table"/>
              <w:jc w:val="center"/>
              <w:rPr>
                <w:b/>
                <w:sz w:val="20"/>
              </w:rPr>
            </w:pPr>
            <w:r w:rsidRPr="00616E88">
              <w:rPr>
                <w:b/>
                <w:sz w:val="20"/>
              </w:rPr>
              <w:t>Site-specific EDCM</w:t>
            </w:r>
            <w:r>
              <w:rPr>
                <w:b/>
                <w:sz w:val="20"/>
              </w:rPr>
              <w:t xml:space="preserve"> business customers</w:t>
            </w:r>
          </w:p>
        </w:tc>
      </w:tr>
      <w:tr w:rsidR="00645813" w:rsidRPr="008137C8" w14:paraId="7FB8AB72" w14:textId="77777777" w:rsidTr="00645813">
        <w:trPr>
          <w:trHeight w:val="548"/>
          <w:jc w:val="center"/>
        </w:trPr>
        <w:tc>
          <w:tcPr>
            <w:tcW w:w="2160" w:type="dxa"/>
            <w:shd w:val="clear" w:color="auto" w:fill="DAEEF3" w:themeFill="accent5" w:themeFillTint="33"/>
          </w:tcPr>
          <w:p w14:paraId="3BF22568" w14:textId="2C3BCBDE" w:rsidR="00645813" w:rsidRPr="00616E88" w:rsidRDefault="00645813" w:rsidP="00ED53D0">
            <w:pPr>
              <w:pStyle w:val="Table"/>
              <w:jc w:val="center"/>
              <w:rPr>
                <w:b/>
                <w:sz w:val="20"/>
              </w:rPr>
            </w:pPr>
            <w:r w:rsidRPr="00616E88">
              <w:rPr>
                <w:b/>
                <w:noProof/>
                <w:sz w:val="20"/>
                <w:lang w:val="en-US" w:bidi="ar-SA"/>
              </w:rPr>
              <w:drawing>
                <wp:inline distT="0" distB="0" distL="0" distR="0" wp14:anchorId="0D08DAB8" wp14:editId="27BB7ADE">
                  <wp:extent cx="457200" cy="457200"/>
                  <wp:effectExtent l="0" t="0" r="0" b="0"/>
                  <wp:docPr id="7" name="Picture 7" descr="Macintosh HD:Users:franck:Documents:Blue Badger:DCPs &amp; alert:Weather symbols:Symbol 2 (sun clou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franck:Documents:Blue Badger:DCPs &amp; alert:Weather symbols:Symbol 2 (sun clou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5391E09F" w14:textId="0FEE2FED" w:rsidR="00645813" w:rsidRPr="00616E88" w:rsidRDefault="00645813" w:rsidP="006A4E0E">
            <w:pPr>
              <w:pStyle w:val="Table"/>
              <w:jc w:val="center"/>
              <w:rPr>
                <w:b/>
                <w:sz w:val="20"/>
              </w:rPr>
            </w:pPr>
            <w:r w:rsidRPr="00616E88">
              <w:rPr>
                <w:b/>
                <w:sz w:val="20"/>
              </w:rPr>
              <w:t>Savings generally, except for low users</w:t>
            </w:r>
          </w:p>
        </w:tc>
        <w:tc>
          <w:tcPr>
            <w:tcW w:w="0" w:type="dxa"/>
            <w:shd w:val="clear" w:color="auto" w:fill="auto"/>
          </w:tcPr>
          <w:p w14:paraId="401B3ABA" w14:textId="77777777" w:rsidR="00645813" w:rsidRPr="000C4B10" w:rsidRDefault="00645813" w:rsidP="009F50F0">
            <w:pPr>
              <w:pStyle w:val="Table"/>
              <w:jc w:val="center"/>
              <w:rPr>
                <w:rFonts w:ascii="Arial Black" w:hAnsi="Arial Black"/>
                <w:noProof/>
                <w:lang w:val="en-US" w:bidi="ar-SA"/>
              </w:rPr>
            </w:pPr>
          </w:p>
        </w:tc>
        <w:tc>
          <w:tcPr>
            <w:tcW w:w="2160" w:type="dxa"/>
            <w:shd w:val="clear" w:color="auto" w:fill="EAF1DD" w:themeFill="accent3" w:themeFillTint="33"/>
          </w:tcPr>
          <w:p w14:paraId="6A1725C4" w14:textId="46E0FB73" w:rsidR="00645813" w:rsidRPr="00616E88" w:rsidRDefault="00645813" w:rsidP="009F50F0">
            <w:pPr>
              <w:pStyle w:val="Table"/>
              <w:jc w:val="center"/>
              <w:rPr>
                <w:b/>
                <w:sz w:val="20"/>
              </w:rPr>
            </w:pPr>
            <w:r w:rsidRPr="000C4B10">
              <w:rPr>
                <w:rFonts w:ascii="Arial Black" w:hAnsi="Arial Black"/>
                <w:noProof/>
                <w:lang w:val="en-US" w:bidi="ar-SA"/>
              </w:rPr>
              <w:drawing>
                <wp:inline distT="0" distB="0" distL="0" distR="0" wp14:anchorId="11BCFDE7" wp14:editId="1A654B7B">
                  <wp:extent cx="457200" cy="457200"/>
                  <wp:effectExtent l="0" t="0" r="0" b="0"/>
                  <wp:docPr id="9" name="Picture 9" descr="Macintosh HD:Users:franck:Documents:Blue Badger:DCPs &amp; alert:Weather symbols:Symbol 3 (clou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franck:Documents:Blue Badger:DCPs &amp; alert:Weather symbols:Symbol 3 (cloud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57D44CB6" w14:textId="405C4467" w:rsidR="00645813" w:rsidRPr="00616E88" w:rsidRDefault="00645813" w:rsidP="00D67CA8">
            <w:pPr>
              <w:pStyle w:val="Table"/>
              <w:jc w:val="center"/>
              <w:rPr>
                <w:b/>
                <w:sz w:val="20"/>
              </w:rPr>
            </w:pPr>
            <w:r w:rsidRPr="00616E88">
              <w:rPr>
                <w:b/>
                <w:sz w:val="20"/>
              </w:rPr>
              <w:t xml:space="preserve">Some </w:t>
            </w:r>
            <w:r w:rsidR="00D67CA8">
              <w:rPr>
                <w:b/>
                <w:sz w:val="20"/>
              </w:rPr>
              <w:t>charges go up, some go down</w:t>
            </w:r>
          </w:p>
        </w:tc>
        <w:tc>
          <w:tcPr>
            <w:tcW w:w="0" w:type="dxa"/>
            <w:shd w:val="clear" w:color="auto" w:fill="auto"/>
          </w:tcPr>
          <w:p w14:paraId="02ECE74C" w14:textId="77777777" w:rsidR="00645813" w:rsidRPr="00616E88" w:rsidRDefault="00645813" w:rsidP="00ED53D0">
            <w:pPr>
              <w:pStyle w:val="Table"/>
              <w:jc w:val="center"/>
              <w:rPr>
                <w:b/>
                <w:noProof/>
                <w:sz w:val="20"/>
                <w:lang w:val="en-US" w:bidi="ar-SA"/>
              </w:rPr>
            </w:pPr>
          </w:p>
        </w:tc>
        <w:tc>
          <w:tcPr>
            <w:tcW w:w="2160" w:type="dxa"/>
            <w:shd w:val="clear" w:color="auto" w:fill="FDE9D9" w:themeFill="accent6" w:themeFillTint="33"/>
          </w:tcPr>
          <w:p w14:paraId="068FD6B6" w14:textId="2D5C48A3" w:rsidR="00645813" w:rsidRPr="00616E88" w:rsidRDefault="000B02C5" w:rsidP="00ED53D0">
            <w:pPr>
              <w:pStyle w:val="Table"/>
              <w:jc w:val="center"/>
              <w:rPr>
                <w:b/>
                <w:sz w:val="20"/>
              </w:rPr>
            </w:pPr>
            <w:r w:rsidRPr="008B1DF3">
              <w:rPr>
                <w:noProof/>
                <w:lang w:val="en-US" w:bidi="ar-SA"/>
              </w:rPr>
              <w:drawing>
                <wp:inline distT="0" distB="0" distL="0" distR="0" wp14:anchorId="485B70C7" wp14:editId="77025AC8">
                  <wp:extent cx="457200" cy="457200"/>
                  <wp:effectExtent l="0" t="0" r="0" b="0"/>
                  <wp:docPr id="5" name="Picture 5" descr="Macintosh HD:Users:franck:Documents:Blue Badger:DCPs &amp; alert:Weather symbols:Symbol 4 (r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franck:Documents:Blue Badger:DCPs &amp; alert:Weather symbols:Symbol 4 (rai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645813" w:rsidRPr="000C4B10">
              <w:rPr>
                <w:rFonts w:ascii="Arial Black" w:hAnsi="Arial Black"/>
                <w:noProof/>
                <w:lang w:val="en-US" w:bidi="ar-SA"/>
              </w:rPr>
              <w:drawing>
                <wp:inline distT="0" distB="0" distL="0" distR="0" wp14:anchorId="6690CF24" wp14:editId="7A30B073">
                  <wp:extent cx="457200" cy="457200"/>
                  <wp:effectExtent l="0" t="0" r="0" b="0"/>
                  <wp:docPr id="13" name="Picture 13" descr="Macintosh HD:Users:franck:Documents:Blue Badger:DCPs &amp; alert:Weather symbols:Symbol 5 (light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franck:Documents:Blue Badger:DCPs &amp; alert:Weather symbols:Symbol 5 (lightning).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572CA981" w14:textId="3DEA2A5D" w:rsidR="00645813" w:rsidRPr="00616E88" w:rsidRDefault="00645813" w:rsidP="009F50F0">
            <w:pPr>
              <w:pStyle w:val="Table"/>
              <w:jc w:val="center"/>
              <w:rPr>
                <w:b/>
                <w:sz w:val="20"/>
              </w:rPr>
            </w:pPr>
            <w:r w:rsidRPr="00616E88">
              <w:rPr>
                <w:b/>
                <w:sz w:val="20"/>
              </w:rPr>
              <w:t>Significant detriment to many customers</w:t>
            </w:r>
          </w:p>
        </w:tc>
        <w:tc>
          <w:tcPr>
            <w:tcW w:w="0" w:type="dxa"/>
            <w:shd w:val="clear" w:color="auto" w:fill="auto"/>
          </w:tcPr>
          <w:p w14:paraId="6C86DB67" w14:textId="77777777" w:rsidR="00645813" w:rsidRPr="00616E88" w:rsidRDefault="00645813" w:rsidP="009F50F0">
            <w:pPr>
              <w:pStyle w:val="Table"/>
              <w:jc w:val="center"/>
              <w:rPr>
                <w:b/>
                <w:noProof/>
                <w:sz w:val="20"/>
                <w:lang w:val="en-US" w:bidi="ar-SA"/>
              </w:rPr>
            </w:pPr>
          </w:p>
        </w:tc>
        <w:tc>
          <w:tcPr>
            <w:tcW w:w="2160" w:type="dxa"/>
            <w:shd w:val="clear" w:color="auto" w:fill="E5DFEC" w:themeFill="accent4" w:themeFillTint="33"/>
          </w:tcPr>
          <w:p w14:paraId="54CBC094" w14:textId="7C949E39" w:rsidR="00645813" w:rsidRPr="00616E88" w:rsidRDefault="00645813" w:rsidP="009F50F0">
            <w:pPr>
              <w:pStyle w:val="Table"/>
              <w:jc w:val="center"/>
              <w:rPr>
                <w:b/>
                <w:sz w:val="20"/>
              </w:rPr>
            </w:pPr>
            <w:r w:rsidRPr="00616E88">
              <w:rPr>
                <w:b/>
                <w:noProof/>
                <w:sz w:val="20"/>
                <w:lang w:val="en-US" w:bidi="ar-SA"/>
              </w:rPr>
              <w:drawing>
                <wp:inline distT="0" distB="0" distL="0" distR="0" wp14:anchorId="003C9F3A" wp14:editId="30B5180A">
                  <wp:extent cx="457200" cy="457200"/>
                  <wp:effectExtent l="0" t="0" r="0" b="0"/>
                  <wp:docPr id="6" name="Picture 6" descr="Macintosh HD:Users:franck:Documents:Blue Badger:DCPs &amp; alert:Weather symbols:Symbol 1 (su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franck:Documents:Blue Badger:DCPs &amp; alert:Weather symbols:Symbol 1 (su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422E27C6" w14:textId="636355B8" w:rsidR="00645813" w:rsidRPr="00616E88" w:rsidRDefault="00645813" w:rsidP="009F50F0">
            <w:pPr>
              <w:pStyle w:val="Table"/>
              <w:jc w:val="center"/>
              <w:rPr>
                <w:b/>
                <w:sz w:val="20"/>
              </w:rPr>
            </w:pPr>
            <w:r w:rsidRPr="00616E88">
              <w:rPr>
                <w:b/>
                <w:sz w:val="20"/>
              </w:rPr>
              <w:t>No impact</w:t>
            </w:r>
          </w:p>
        </w:tc>
      </w:tr>
    </w:tbl>
    <w:p w14:paraId="3649AA61" w14:textId="77777777" w:rsidR="00CD59B8" w:rsidRPr="008137C8" w:rsidRDefault="00CD59B8" w:rsidP="00A5429F">
      <w:pPr>
        <w:pStyle w:val="TableLastNote"/>
      </w:pPr>
    </w:p>
    <w:p w14:paraId="66918682" w14:textId="0214D7BA" w:rsidR="00A5429F" w:rsidRDefault="00677898" w:rsidP="00B06763">
      <w:pPr>
        <w:pStyle w:val="Text"/>
      </w:pPr>
      <w:r w:rsidRPr="00D62425">
        <w:t xml:space="preserve">This </w:t>
      </w:r>
      <w:r w:rsidR="00D62425" w:rsidRPr="00D62425">
        <w:t xml:space="preserve">alert </w:t>
      </w:r>
      <w:r w:rsidRPr="00D62425">
        <w:t xml:space="preserve">is </w:t>
      </w:r>
      <w:r w:rsidR="00D62425" w:rsidRPr="00D62425">
        <w:t>about</w:t>
      </w:r>
      <w:r w:rsidR="00D62425">
        <w:t xml:space="preserve"> </w:t>
      </w:r>
      <w:r>
        <w:t xml:space="preserve">a proposal of the electricity industry to </w:t>
      </w:r>
      <w:r w:rsidR="00645813">
        <w:t xml:space="preserve">make significant changes to the network charges for use of the distribution network </w:t>
      </w:r>
      <w:r w:rsidR="00782312">
        <w:t>from 1 April 2016</w:t>
      </w:r>
      <w:r>
        <w:t>.</w:t>
      </w:r>
      <w:r w:rsidR="00B06763">
        <w:t xml:space="preserve"> </w:t>
      </w:r>
      <w:r w:rsidR="009F50F0">
        <w:t xml:space="preserve"> </w:t>
      </w:r>
      <w:r w:rsidR="00FB3676">
        <w:t xml:space="preserve">The proposal would lead to </w:t>
      </w:r>
      <w:r w:rsidR="00645813">
        <w:t xml:space="preserve">a </w:t>
      </w:r>
      <w:r w:rsidR="00E44E53">
        <w:t xml:space="preserve">large </w:t>
      </w:r>
      <w:r w:rsidR="00645813">
        <w:t xml:space="preserve">increase in the charges applied to off-peak </w:t>
      </w:r>
      <w:r w:rsidR="00A5429F">
        <w:t>use</w:t>
      </w:r>
      <w:r w:rsidR="00E44E53">
        <w:t>, and to an overall increase in charges for most large business use</w:t>
      </w:r>
      <w:bookmarkStart w:id="0" w:name="_GoBack"/>
      <w:bookmarkEnd w:id="0"/>
      <w:r w:rsidR="00A5429F">
        <w:t>.</w:t>
      </w:r>
    </w:p>
    <w:p w14:paraId="1A6068C7" w14:textId="33697867" w:rsidR="00B06763" w:rsidRDefault="00645813" w:rsidP="00B06763">
      <w:pPr>
        <w:pStyle w:val="Text"/>
      </w:pPr>
      <w:r>
        <w:t>An i</w:t>
      </w:r>
      <w:r w:rsidR="006A4E0E">
        <w:t xml:space="preserve">ndustry consultation </w:t>
      </w:r>
      <w:r>
        <w:t xml:space="preserve">has been run but there was no </w:t>
      </w:r>
      <w:r w:rsidR="00B06763">
        <w:t xml:space="preserve">customer response. Time </w:t>
      </w:r>
      <w:r w:rsidR="00FB3676">
        <w:t xml:space="preserve">will soon be </w:t>
      </w:r>
      <w:r w:rsidR="00B06763">
        <w:t>running out to</w:t>
      </w:r>
      <w:r w:rsidR="007A58EC">
        <w:t xml:space="preserve"> make representations to Ofgem.</w:t>
      </w:r>
    </w:p>
    <w:p w14:paraId="3D497049" w14:textId="06DA00BA" w:rsidR="00673DFE" w:rsidRDefault="00673DFE" w:rsidP="00355C86">
      <w:pPr>
        <w:pStyle w:val="Heading2"/>
      </w:pPr>
      <w:r>
        <w:t>What is the impact?</w:t>
      </w:r>
    </w:p>
    <w:p w14:paraId="527589F0" w14:textId="7089CD42" w:rsidR="00673DFE" w:rsidRDefault="00692D3E" w:rsidP="006A4E0E">
      <w:pPr>
        <w:pStyle w:val="Text"/>
      </w:pPr>
      <w:r>
        <w:t xml:space="preserve">Outside </w:t>
      </w:r>
      <w:r w:rsidR="00992466">
        <w:t xml:space="preserve">Greater </w:t>
      </w:r>
      <w:r>
        <w:t>London</w:t>
      </w:r>
      <w:r w:rsidR="00992466">
        <w:t>:</w:t>
      </w:r>
    </w:p>
    <w:p w14:paraId="02399548" w14:textId="4BD3527E" w:rsidR="00673DFE" w:rsidRPr="00FB3676" w:rsidRDefault="00673DFE" w:rsidP="006A4E0E">
      <w:pPr>
        <w:pStyle w:val="Text"/>
        <w:numPr>
          <w:ilvl w:val="2"/>
          <w:numId w:val="10"/>
        </w:numPr>
      </w:pPr>
      <w:r w:rsidRPr="00FB3676">
        <w:t xml:space="preserve">Off-peak unit rates, particularly green and amber unit rates, are increased </w:t>
      </w:r>
      <w:r w:rsidR="00992466">
        <w:t xml:space="preserve">by up to </w:t>
      </w:r>
      <w:r w:rsidR="00E871CE" w:rsidRPr="00FB3676">
        <w:t>1.094</w:t>
      </w:r>
      <w:r w:rsidRPr="00FB3676">
        <w:t xml:space="preserve"> p/kWh</w:t>
      </w:r>
      <w:r w:rsidR="00E871CE" w:rsidRPr="00FB3676">
        <w:t xml:space="preserve">.  </w:t>
      </w:r>
      <w:r w:rsidR="00992466">
        <w:t xml:space="preserve">As a </w:t>
      </w:r>
      <w:r w:rsidR="00E871CE" w:rsidRPr="00FB3676">
        <w:t xml:space="preserve">percentage, </w:t>
      </w:r>
      <w:r w:rsidR="00992466">
        <w:t xml:space="preserve">the increase reaches </w:t>
      </w:r>
      <w:r w:rsidR="00E871CE" w:rsidRPr="00FB3676">
        <w:t>9400</w:t>
      </w:r>
      <w:r w:rsidRPr="00FB3676">
        <w:t xml:space="preserve"> per cent</w:t>
      </w:r>
      <w:r w:rsidR="00E871CE" w:rsidRPr="00FB3676">
        <w:t xml:space="preserve"> in one case</w:t>
      </w:r>
      <w:r w:rsidRPr="00FB3676">
        <w:t>.</w:t>
      </w:r>
    </w:p>
    <w:p w14:paraId="76209D81" w14:textId="257CE4EC" w:rsidR="00673DFE" w:rsidRPr="00FB3676" w:rsidRDefault="00673DFE" w:rsidP="006A4E0E">
      <w:pPr>
        <w:pStyle w:val="Text"/>
        <w:numPr>
          <w:ilvl w:val="2"/>
          <w:numId w:val="10"/>
        </w:numPr>
      </w:pPr>
      <w:r w:rsidRPr="00FB3676">
        <w:t>Uni</w:t>
      </w:r>
      <w:r w:rsidR="00992466">
        <w:t xml:space="preserve">t rates that apply at peak time are significantly reduced: </w:t>
      </w:r>
      <w:r w:rsidR="00FB3676" w:rsidRPr="00FB3676">
        <w:t xml:space="preserve">up to </w:t>
      </w:r>
      <w:r w:rsidR="00E871CE" w:rsidRPr="00FB3676">
        <w:t>16.016 p/kWh</w:t>
      </w:r>
      <w:r w:rsidRPr="00FB3676">
        <w:t>.</w:t>
      </w:r>
    </w:p>
    <w:p w14:paraId="108B4649" w14:textId="4A141990" w:rsidR="00992466" w:rsidRPr="00FB3676" w:rsidRDefault="00992466" w:rsidP="00992466">
      <w:pPr>
        <w:pStyle w:val="Text"/>
        <w:numPr>
          <w:ilvl w:val="2"/>
          <w:numId w:val="10"/>
        </w:numPr>
      </w:pPr>
      <w:r w:rsidRPr="00FB3676">
        <w:t xml:space="preserve">Capacity charges are increased by up to 5.33 p/kVA/day or </w:t>
      </w:r>
      <w:r>
        <w:t xml:space="preserve">up to </w:t>
      </w:r>
      <w:r w:rsidRPr="00FB3676">
        <w:t>140 per cent.</w:t>
      </w:r>
    </w:p>
    <w:p w14:paraId="394C96B7" w14:textId="38FAA61B" w:rsidR="00673DFE" w:rsidRDefault="00673DFE" w:rsidP="006A4E0E">
      <w:pPr>
        <w:pStyle w:val="Text"/>
        <w:numPr>
          <w:ilvl w:val="2"/>
          <w:numId w:val="10"/>
        </w:numPr>
      </w:pPr>
      <w:r>
        <w:t>Fixed charges are increased</w:t>
      </w:r>
      <w:r w:rsidR="00FB3676">
        <w:t xml:space="preserve"> by up to 119 per cent.</w:t>
      </w:r>
    </w:p>
    <w:p w14:paraId="30AD5842" w14:textId="0F2DC047" w:rsidR="00692D3E" w:rsidRDefault="00692D3E" w:rsidP="00692D3E">
      <w:pPr>
        <w:pStyle w:val="Text"/>
      </w:pPr>
      <w:r>
        <w:t>In Greater London, the impact is a reduction in off-peak unit rates, in many cases down to zero; and a modest increase in charges in respect of domestic customers.</w:t>
      </w:r>
    </w:p>
    <w:p w14:paraId="4A3EAA05" w14:textId="2DD423F9" w:rsidR="00673DFE" w:rsidRPr="00654360" w:rsidRDefault="005423EE" w:rsidP="00961F54">
      <w:pPr>
        <w:pStyle w:val="Text"/>
      </w:pPr>
      <w:r>
        <w:t>Appendix A</w:t>
      </w:r>
      <w:r w:rsidR="00673DFE">
        <w:t xml:space="preserve"> contains additional illustrations for </w:t>
      </w:r>
      <w:r w:rsidR="00692D3E">
        <w:t xml:space="preserve">a half </w:t>
      </w:r>
      <w:proofErr w:type="gramStart"/>
      <w:r w:rsidR="00692D3E">
        <w:t>hourly metered</w:t>
      </w:r>
      <w:proofErr w:type="gramEnd"/>
      <w:r w:rsidR="00692D3E">
        <w:t xml:space="preserve"> high-</w:t>
      </w:r>
      <w:r w:rsidR="00645813">
        <w:t xml:space="preserve">voltage customer </w:t>
      </w:r>
      <w:r>
        <w:t>who</w:t>
      </w:r>
      <w:r w:rsidR="00645813">
        <w:t xml:space="preserve"> has shifted </w:t>
      </w:r>
      <w:r>
        <w:t xml:space="preserve">its </w:t>
      </w:r>
      <w:r w:rsidR="00645813">
        <w:t>consumption to off-peak hours in the green time band</w:t>
      </w:r>
      <w:r w:rsidR="00673DFE">
        <w:t>.</w:t>
      </w:r>
    </w:p>
    <w:p w14:paraId="37088010" w14:textId="3A3B244D" w:rsidR="00645813" w:rsidRDefault="00645813" w:rsidP="00645813">
      <w:pPr>
        <w:pStyle w:val="Heading2"/>
      </w:pPr>
      <w:r>
        <w:t>Why is the electricity industry making these proposals now?</w:t>
      </w:r>
    </w:p>
    <w:p w14:paraId="682B0AC8" w14:textId="00258840" w:rsidR="00992466" w:rsidRDefault="00645813" w:rsidP="00992466">
      <w:pPr>
        <w:pStyle w:val="Text"/>
      </w:pPr>
      <w:r>
        <w:t xml:space="preserve">An </w:t>
      </w:r>
      <w:proofErr w:type="gramStart"/>
      <w:r>
        <w:t>industry working</w:t>
      </w:r>
      <w:proofErr w:type="gramEnd"/>
      <w:r>
        <w:t xml:space="preserve"> group </w:t>
      </w:r>
      <w:r w:rsidR="00692D3E">
        <w:t xml:space="preserve">made up of people with experience in electricity supply and electricity distribution </w:t>
      </w:r>
      <w:r>
        <w:t>was established to address the issue of very high unit rates in the red time band.  The problem was that these rates were significantly in excess of any measure of cost.</w:t>
      </w:r>
      <w:r w:rsidR="00992466">
        <w:t xml:space="preserve">  The reason for these excessive charges was “revenue matching”, which is a significant driver of distribution charges within the CDCM.</w:t>
      </w:r>
    </w:p>
    <w:p w14:paraId="43538688" w14:textId="2EB804E7" w:rsidR="00645813" w:rsidRDefault="00692D3E" w:rsidP="00645813">
      <w:pPr>
        <w:pStyle w:val="Text"/>
      </w:pPr>
      <w:r>
        <w:t>T</w:t>
      </w:r>
      <w:r w:rsidR="00645813">
        <w:t xml:space="preserve">he group </w:t>
      </w:r>
      <w:r w:rsidR="00A5429F">
        <w:t>examined</w:t>
      </w:r>
      <w:r>
        <w:t xml:space="preserve"> </w:t>
      </w:r>
      <w:r w:rsidR="00A5429F">
        <w:t>a si</w:t>
      </w:r>
      <w:r>
        <w:t xml:space="preserve">mple scaling </w:t>
      </w:r>
      <w:r w:rsidR="00A5429F">
        <w:t xml:space="preserve">solution, which </w:t>
      </w:r>
      <w:r>
        <w:t xml:space="preserve">would have spread the </w:t>
      </w:r>
      <w:proofErr w:type="gramStart"/>
      <w:r>
        <w:t>revenue matching</w:t>
      </w:r>
      <w:proofErr w:type="gramEnd"/>
      <w:r>
        <w:t xml:space="preserve"> element more widely as a proportionate mark-up on cost estimates, and would have tended to reduce charges to business users.  </w:t>
      </w:r>
      <w:r w:rsidR="00A5429F">
        <w:t xml:space="preserve">It then moved towards a </w:t>
      </w:r>
      <w:r w:rsidR="00992466">
        <w:t>hybrid</w:t>
      </w:r>
      <w:r w:rsidR="00A5429F">
        <w:t xml:space="preserve"> </w:t>
      </w:r>
      <w:r>
        <w:t xml:space="preserve">solution </w:t>
      </w:r>
      <w:r w:rsidR="00E871CE">
        <w:t xml:space="preserve">whose main feature is to transfer </w:t>
      </w:r>
      <w:r>
        <w:t>charge</w:t>
      </w:r>
      <w:r w:rsidR="00E871CE">
        <w:t>s</w:t>
      </w:r>
      <w:r w:rsidR="00645813">
        <w:t xml:space="preserve"> from the red time band to </w:t>
      </w:r>
      <w:r w:rsidR="00645813">
        <w:lastRenderedPageBreak/>
        <w:t xml:space="preserve">other </w:t>
      </w:r>
      <w:r w:rsidR="00E871CE">
        <w:t>elements</w:t>
      </w:r>
      <w:r w:rsidR="00645813">
        <w:t>, particularly</w:t>
      </w:r>
      <w:r>
        <w:t xml:space="preserve"> the green (off peak) time band, and </w:t>
      </w:r>
      <w:r w:rsidR="00E871CE">
        <w:t>to apply</w:t>
      </w:r>
      <w:r>
        <w:t xml:space="preserve"> this charge to all users and all time bands without any regard to differences in cost between them.</w:t>
      </w:r>
    </w:p>
    <w:p w14:paraId="5C25C798" w14:textId="1D1E74D9" w:rsidR="00645813" w:rsidRPr="00AD478C" w:rsidRDefault="00645813" w:rsidP="00645813">
      <w:pPr>
        <w:pStyle w:val="Text"/>
      </w:pPr>
      <w:r>
        <w:t xml:space="preserve">The effect of the </w:t>
      </w:r>
      <w:r w:rsidR="00692D3E">
        <w:t xml:space="preserve">working group’s </w:t>
      </w:r>
      <w:r w:rsidR="00A5429F">
        <w:t xml:space="preserve">hybrid </w:t>
      </w:r>
      <w:r>
        <w:t xml:space="preserve">solution is to reduce charges to domestic customers, particularly in high-cost areas such as Wales.  </w:t>
      </w:r>
      <w:r w:rsidR="00A5429F">
        <w:t xml:space="preserve">This might be </w:t>
      </w:r>
      <w:r>
        <w:t xml:space="preserve">attractive to </w:t>
      </w:r>
      <w:r w:rsidR="00692D3E">
        <w:t xml:space="preserve">electricity </w:t>
      </w:r>
      <w:r>
        <w:t>suppliers who are under intense political pressure to cut domestic tariffs</w:t>
      </w:r>
      <w:r w:rsidR="00E871CE">
        <w:t>.</w:t>
      </w:r>
    </w:p>
    <w:p w14:paraId="74BB2A07" w14:textId="77777777" w:rsidR="00673DFE" w:rsidRDefault="00673DFE" w:rsidP="00355C86">
      <w:pPr>
        <w:pStyle w:val="Heading2"/>
      </w:pPr>
      <w:r>
        <w:t>How to make your voice heard</w:t>
      </w:r>
    </w:p>
    <w:p w14:paraId="25C4CBFF" w14:textId="77777777" w:rsidR="00692D3E" w:rsidRDefault="00692D3E" w:rsidP="00692D3E">
      <w:pPr>
        <w:pStyle w:val="Text"/>
      </w:pPr>
      <w:r>
        <w:t>The proposed change is under DCUSA, a governance regime overseen by Ofgem.  This change will only be implemented if Ofgem approves it.</w:t>
      </w:r>
    </w:p>
    <w:p w14:paraId="2CC17194" w14:textId="10034CF1" w:rsidR="00645813" w:rsidRDefault="00673DFE" w:rsidP="00A65744">
      <w:pPr>
        <w:pStyle w:val="Text"/>
      </w:pPr>
      <w:r>
        <w:t xml:space="preserve">The industry conducted two consultations; see </w:t>
      </w:r>
      <w:hyperlink r:id="rId13" w:history="1">
        <w:r w:rsidRPr="0070627E">
          <w:rPr>
            <w:rStyle w:val="Hyperlink"/>
          </w:rPr>
          <w:t>http://reckon.co.uk/c91335.zip</w:t>
        </w:r>
      </w:hyperlink>
      <w:r>
        <w:t xml:space="preserve"> for the most recent one.  There were </w:t>
      </w:r>
      <w:r w:rsidRPr="00A5429F">
        <w:rPr>
          <w:b/>
        </w:rPr>
        <w:t xml:space="preserve">no customer responses to </w:t>
      </w:r>
      <w:r w:rsidR="00692D3E" w:rsidRPr="00A5429F">
        <w:rPr>
          <w:b/>
        </w:rPr>
        <w:t xml:space="preserve">the industry </w:t>
      </w:r>
      <w:r w:rsidRPr="00A5429F">
        <w:rPr>
          <w:b/>
        </w:rPr>
        <w:t>consultation</w:t>
      </w:r>
      <w:r w:rsidR="00645813">
        <w:t>.</w:t>
      </w:r>
      <w:r w:rsidR="00A5429F">
        <w:t xml:space="preserve">  </w:t>
      </w:r>
      <w:r>
        <w:t xml:space="preserve">The </w:t>
      </w:r>
      <w:r w:rsidR="00692D3E">
        <w:t xml:space="preserve">industry </w:t>
      </w:r>
      <w:r>
        <w:t xml:space="preserve">consultation documents were difficult to </w:t>
      </w:r>
      <w:r w:rsidR="00645813">
        <w:t>read</w:t>
      </w:r>
      <w:r>
        <w:t xml:space="preserve"> and the impact </w:t>
      </w:r>
      <w:r w:rsidR="00645813">
        <w:t xml:space="preserve">of the proposal </w:t>
      </w:r>
      <w:r w:rsidR="001D6D28">
        <w:t>might</w:t>
      </w:r>
      <w:r>
        <w:t xml:space="preserve"> not </w:t>
      </w:r>
      <w:r w:rsidR="001D6D28">
        <w:t xml:space="preserve">have been </w:t>
      </w:r>
      <w:r>
        <w:t>clear from them.</w:t>
      </w:r>
    </w:p>
    <w:p w14:paraId="204CD924" w14:textId="7394B1F8" w:rsidR="00692D3E" w:rsidRDefault="00673DFE" w:rsidP="00692D3E">
      <w:pPr>
        <w:pStyle w:val="Text"/>
      </w:pPr>
      <w:r>
        <w:t xml:space="preserve">The only effective way to make representations now is to go directly to Ofgem to register concerns about the </w:t>
      </w:r>
      <w:r w:rsidR="00645813">
        <w:t>proposal</w:t>
      </w:r>
      <w:r>
        <w:t xml:space="preserve"> and/or about the industry consultation process.</w:t>
      </w:r>
      <w:r w:rsidR="00692D3E">
        <w:t xml:space="preserve">  The responsible official at Ofgem is </w:t>
      </w:r>
      <w:r w:rsidR="00692D3E" w:rsidRPr="00692D3E">
        <w:rPr>
          <w:b/>
        </w:rPr>
        <w:t>Iain Morgan (</w:t>
      </w:r>
      <w:hyperlink r:id="rId14" w:history="1">
        <w:r w:rsidR="00692D3E" w:rsidRPr="00692D3E">
          <w:rPr>
            <w:rStyle w:val="Hyperlink"/>
            <w:b/>
          </w:rPr>
          <w:t>iain.morgan@ofgem.gov.uk</w:t>
        </w:r>
      </w:hyperlink>
      <w:r w:rsidR="00692D3E" w:rsidRPr="00692D3E">
        <w:rPr>
          <w:b/>
        </w:rPr>
        <w:t>)</w:t>
      </w:r>
      <w:r w:rsidR="00692D3E">
        <w:t>.</w:t>
      </w:r>
    </w:p>
    <w:p w14:paraId="6F496DEA" w14:textId="46A9438E" w:rsidR="00692D3E" w:rsidRDefault="00692D3E" w:rsidP="00692D3E">
      <w:pPr>
        <w:pStyle w:val="Text"/>
      </w:pPr>
      <w:r>
        <w:t>If Ofgem agrees that the industry has failed to consult effectively, it can “send back” the change report to</w:t>
      </w:r>
      <w:r w:rsidR="00A5429F">
        <w:t xml:space="preserve"> the industry for further work</w:t>
      </w:r>
      <w:r>
        <w:t xml:space="preserve">.  If Ofgem is not persuaded that the proposal would improve the charging methodology, it can reject </w:t>
      </w:r>
      <w:r w:rsidR="00A5429F">
        <w:t>it</w:t>
      </w:r>
      <w:r>
        <w:t xml:space="preserve"> altogether.</w:t>
      </w:r>
    </w:p>
    <w:p w14:paraId="24F3835A" w14:textId="77777777" w:rsidR="002F4923" w:rsidRDefault="002F4923" w:rsidP="002F4923">
      <w:pPr>
        <w:pStyle w:val="Heading2"/>
      </w:pPr>
      <w:r>
        <w:t>For more information about this alert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4320"/>
      </w:tblGrid>
      <w:tr w:rsidR="002F4923" w14:paraId="3F6040A3" w14:textId="77777777" w:rsidTr="00DB4CBC">
        <w:tc>
          <w:tcPr>
            <w:tcW w:w="2520" w:type="dxa"/>
          </w:tcPr>
          <w:p w14:paraId="2D02C992" w14:textId="77777777" w:rsidR="002F4923" w:rsidRDefault="002F4923" w:rsidP="00DB4CBC">
            <w:pPr>
              <w:pStyle w:val="Table"/>
              <w:jc w:val="center"/>
            </w:pPr>
            <w:r w:rsidRPr="00364B9A">
              <w:rPr>
                <w:noProof/>
                <w:lang w:val="en-US" w:bidi="ar-SA"/>
              </w:rPr>
              <w:drawing>
                <wp:inline distT="0" distB="0" distL="0" distR="0" wp14:anchorId="1FA28ED2" wp14:editId="3A4DD0AD">
                  <wp:extent cx="1092200" cy="1092200"/>
                  <wp:effectExtent l="0" t="0" r="0" b="0"/>
                  <wp:docPr id="12" name="Picture 12" descr="Macintosh HD:Users:franck:Documents:Today:Marketing:360x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franck:Documents:Today:Marketing:360x36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92200" cy="1092200"/>
                          </a:xfrm>
                          <a:prstGeom prst="rect">
                            <a:avLst/>
                          </a:prstGeom>
                          <a:noFill/>
                          <a:ln>
                            <a:noFill/>
                          </a:ln>
                          <a:extLst>
                            <a:ext uri="{FAA26D3D-D897-4be2-8F04-BA451C77F1D7}">
                              <ma14:placeholderFlag xmlns:ma14="http://schemas.microsoft.com/office/mac/drawingml/2011/main"/>
                            </a:ext>
                          </a:extLst>
                        </pic:spPr>
                      </pic:pic>
                    </a:graphicData>
                  </a:graphic>
                </wp:inline>
              </w:drawing>
            </w:r>
          </w:p>
        </w:tc>
        <w:tc>
          <w:tcPr>
            <w:tcW w:w="4320" w:type="dxa"/>
          </w:tcPr>
          <w:p w14:paraId="5EFBB084" w14:textId="77777777" w:rsidR="002F4923" w:rsidRDefault="002F4923" w:rsidP="00DB4CBC">
            <w:pPr>
              <w:pStyle w:val="Table"/>
              <w:rPr>
                <w:b/>
              </w:rPr>
            </w:pPr>
            <w:r w:rsidRPr="00E70261">
              <w:rPr>
                <w:b/>
              </w:rPr>
              <w:t>Franck Latrémolière</w:t>
            </w:r>
          </w:p>
          <w:p w14:paraId="78AFA6EB" w14:textId="77777777" w:rsidR="002F4923" w:rsidRDefault="002F4923" w:rsidP="00DB4CBC">
            <w:pPr>
              <w:pStyle w:val="Table"/>
              <w:rPr>
                <w:b/>
              </w:rPr>
            </w:pPr>
            <w:r w:rsidRPr="00E70261">
              <w:rPr>
                <w:b/>
              </w:rPr>
              <w:t>Reckon LLP</w:t>
            </w:r>
          </w:p>
          <w:p w14:paraId="05A385F4" w14:textId="77777777" w:rsidR="002F4923" w:rsidRPr="00E70261" w:rsidRDefault="002F4923" w:rsidP="00DB4CBC">
            <w:pPr>
              <w:pStyle w:val="Table"/>
              <w:rPr>
                <w:b/>
              </w:rPr>
            </w:pPr>
          </w:p>
          <w:p w14:paraId="6D56896D" w14:textId="77777777" w:rsidR="002F4923" w:rsidRDefault="002F4923" w:rsidP="00DB4CBC">
            <w:pPr>
              <w:pStyle w:val="Table"/>
              <w:rPr>
                <w:b/>
              </w:rPr>
            </w:pPr>
            <w:r w:rsidRPr="00E70261">
              <w:rPr>
                <w:b/>
              </w:rPr>
              <w:t>Telephone: 020 7841 5858</w:t>
            </w:r>
          </w:p>
          <w:p w14:paraId="2BE305BF" w14:textId="77777777" w:rsidR="002F4923" w:rsidRPr="00E871CE" w:rsidRDefault="002F4923" w:rsidP="00DB4CBC">
            <w:pPr>
              <w:pStyle w:val="Table"/>
              <w:rPr>
                <w:b/>
              </w:rPr>
            </w:pPr>
            <w:r w:rsidRPr="00E70261">
              <w:rPr>
                <w:b/>
              </w:rPr>
              <w:t xml:space="preserve">Email: </w:t>
            </w:r>
            <w:hyperlink r:id="rId16" w:history="1">
              <w:r w:rsidRPr="00E70261">
                <w:rPr>
                  <w:rStyle w:val="Hyperlink"/>
                  <w:b/>
                </w:rPr>
                <w:t>f20@reckon.co.uk</w:t>
              </w:r>
            </w:hyperlink>
          </w:p>
        </w:tc>
      </w:tr>
    </w:tbl>
    <w:p w14:paraId="6A9C754B" w14:textId="77777777" w:rsidR="002F4923" w:rsidRDefault="002F4923" w:rsidP="002F4923">
      <w:pPr>
        <w:spacing w:after="0"/>
        <w:jc w:val="left"/>
      </w:pPr>
    </w:p>
    <w:p w14:paraId="0F4CB469" w14:textId="77777777" w:rsidR="002F4923" w:rsidRPr="00E53CA7" w:rsidRDefault="002F4923" w:rsidP="002F4923">
      <w:pPr>
        <w:pStyle w:val="Text"/>
        <w:numPr>
          <w:ilvl w:val="1"/>
          <w:numId w:val="3"/>
        </w:numPr>
      </w:pPr>
      <w:r>
        <w:t xml:space="preserve">There is nothing confidential in this alert.  Feel free to pass it on to others who might be interested or to include it with any consultation response you make.  Microsoft Word and PDF versions of this alert, and of any further updates on this topic or other areas of interest to electricity customers, can be found at </w:t>
      </w:r>
      <w:r w:rsidRPr="00E53CA7">
        <w:rPr>
          <w:b/>
        </w:rPr>
        <w:t>http://dcmf.co.uk/alerts</w:t>
      </w:r>
      <w:r>
        <w:t>.</w:t>
      </w:r>
    </w:p>
    <w:p w14:paraId="361F8B53" w14:textId="22E7B402" w:rsidR="00673DFE" w:rsidRDefault="002F4923" w:rsidP="00671F50">
      <w:pPr>
        <w:pStyle w:val="Heading2"/>
        <w:pageBreakBefore/>
      </w:pPr>
      <w:r>
        <w:lastRenderedPageBreak/>
        <w:t>Appendix A — Example of tariff impact</w:t>
      </w:r>
      <w:r w:rsidR="00673DFE">
        <w:t xml:space="preserve"> on </w:t>
      </w:r>
      <w:r>
        <w:t xml:space="preserve">HV </w:t>
      </w:r>
      <w:r w:rsidR="00673DFE">
        <w:t>business off-peak use</w:t>
      </w:r>
    </w:p>
    <w:p w14:paraId="7330CC83" w14:textId="3A160045" w:rsidR="00673DFE" w:rsidRDefault="00673DFE" w:rsidP="00B0663C">
      <w:pPr>
        <w:pStyle w:val="Text"/>
      </w:pPr>
      <w:r>
        <w:t xml:space="preserve">The following table shows, for each DNO area, the </w:t>
      </w:r>
      <w:r w:rsidR="009F501E">
        <w:t>distribution network</w:t>
      </w:r>
      <w:r>
        <w:t xml:space="preserve"> charges with and without DCP </w:t>
      </w:r>
      <w:r w:rsidR="009F501E">
        <w:t>123</w:t>
      </w:r>
      <w:r>
        <w:t xml:space="preserve"> for a high-voltage (HV) customer </w:t>
      </w:r>
      <w:r w:rsidRPr="00654360">
        <w:t>wit</w:t>
      </w:r>
      <w:r>
        <w:t>h a Maximum Import Capacity of 5</w:t>
      </w:r>
      <w:r w:rsidRPr="00654360">
        <w:t xml:space="preserve">,000 kVA and </w:t>
      </w:r>
      <w:r>
        <w:t>which consumes 4,500 kW for 11 off-peak (green) hours</w:t>
      </w:r>
      <w:r w:rsidRPr="00654360">
        <w:t xml:space="preserve"> </w:t>
      </w:r>
      <w:r>
        <w:t>each day.</w:t>
      </w:r>
    </w:p>
    <w:tbl>
      <w:tblPr>
        <w:tblStyle w:val="TableGrid"/>
        <w:tblW w:w="7887" w:type="dxa"/>
        <w:jc w:val="center"/>
        <w:tblLayout w:type="fixed"/>
        <w:tblLook w:val="04A0" w:firstRow="1" w:lastRow="0" w:firstColumn="1" w:lastColumn="0" w:noHBand="0" w:noVBand="1"/>
      </w:tblPr>
      <w:tblGrid>
        <w:gridCol w:w="1728"/>
        <w:gridCol w:w="1539"/>
        <w:gridCol w:w="1540"/>
        <w:gridCol w:w="1540"/>
        <w:gridCol w:w="1540"/>
      </w:tblGrid>
      <w:tr w:rsidR="00673DFE" w:rsidRPr="00B80214" w14:paraId="217B8A67" w14:textId="77777777" w:rsidTr="00A5429F">
        <w:trPr>
          <w:jc w:val="center"/>
        </w:trPr>
        <w:tc>
          <w:tcPr>
            <w:tcW w:w="1728" w:type="dxa"/>
          </w:tcPr>
          <w:p w14:paraId="3222A3DE" w14:textId="77777777" w:rsidR="00673DFE" w:rsidRPr="00B80214" w:rsidRDefault="00673DFE" w:rsidP="00B80214">
            <w:pPr>
              <w:pStyle w:val="Table"/>
              <w:jc w:val="center"/>
            </w:pPr>
          </w:p>
        </w:tc>
        <w:tc>
          <w:tcPr>
            <w:tcW w:w="1539" w:type="dxa"/>
          </w:tcPr>
          <w:p w14:paraId="75F5533D" w14:textId="3EEB852F" w:rsidR="00673DFE" w:rsidRPr="00B80214" w:rsidRDefault="00673DFE" w:rsidP="00B80214">
            <w:pPr>
              <w:pStyle w:val="Table"/>
              <w:jc w:val="center"/>
            </w:pPr>
            <w:r w:rsidRPr="00B80214">
              <w:t xml:space="preserve">Illustrative </w:t>
            </w:r>
            <w:r w:rsidR="009F501E">
              <w:t>distribution</w:t>
            </w:r>
            <w:r w:rsidRPr="00B80214">
              <w:t xml:space="preserve"> charges before the change</w:t>
            </w:r>
          </w:p>
          <w:p w14:paraId="5F8731F6" w14:textId="77777777" w:rsidR="00673DFE" w:rsidRPr="00B80214" w:rsidRDefault="00673DFE" w:rsidP="00B80214">
            <w:pPr>
              <w:pStyle w:val="Table"/>
              <w:jc w:val="center"/>
            </w:pPr>
            <w:r w:rsidRPr="00B80214">
              <w:t>£/year</w:t>
            </w:r>
          </w:p>
        </w:tc>
        <w:tc>
          <w:tcPr>
            <w:tcW w:w="1540" w:type="dxa"/>
          </w:tcPr>
          <w:p w14:paraId="60948C4C" w14:textId="19764E98" w:rsidR="00673DFE" w:rsidRPr="00B80214" w:rsidRDefault="00673DFE" w:rsidP="00B80214">
            <w:pPr>
              <w:pStyle w:val="Table"/>
              <w:jc w:val="center"/>
            </w:pPr>
            <w:r w:rsidRPr="00B80214">
              <w:t xml:space="preserve">Illustrative </w:t>
            </w:r>
            <w:r w:rsidR="009F501E">
              <w:t>distribution</w:t>
            </w:r>
            <w:r w:rsidR="009F501E" w:rsidRPr="00B80214">
              <w:t xml:space="preserve"> </w:t>
            </w:r>
            <w:r w:rsidRPr="00B80214">
              <w:t>charges after the change</w:t>
            </w:r>
          </w:p>
          <w:p w14:paraId="3DD728F6" w14:textId="77777777" w:rsidR="00673DFE" w:rsidRPr="00B80214" w:rsidRDefault="00673DFE" w:rsidP="00B80214">
            <w:pPr>
              <w:pStyle w:val="Table"/>
              <w:jc w:val="center"/>
            </w:pPr>
            <w:r w:rsidRPr="00B80214">
              <w:t>£/year</w:t>
            </w:r>
          </w:p>
        </w:tc>
        <w:tc>
          <w:tcPr>
            <w:tcW w:w="1540" w:type="dxa"/>
          </w:tcPr>
          <w:p w14:paraId="024B27AF" w14:textId="77777777" w:rsidR="00673DFE" w:rsidRPr="001A76F5" w:rsidRDefault="00673DFE" w:rsidP="00B80214">
            <w:pPr>
              <w:pStyle w:val="Table"/>
              <w:jc w:val="center"/>
            </w:pPr>
            <w:r w:rsidRPr="001A76F5">
              <w:t>Illustrative cost of the change</w:t>
            </w:r>
            <w:r w:rsidRPr="001A76F5">
              <w:br/>
              <w:t xml:space="preserve"> </w:t>
            </w:r>
          </w:p>
          <w:p w14:paraId="183E0E89" w14:textId="77777777" w:rsidR="00673DFE" w:rsidRPr="001A76F5" w:rsidRDefault="00673DFE" w:rsidP="00B80214">
            <w:pPr>
              <w:pStyle w:val="Table"/>
              <w:jc w:val="center"/>
            </w:pPr>
            <w:r w:rsidRPr="001A76F5">
              <w:t>£/year</w:t>
            </w:r>
          </w:p>
        </w:tc>
        <w:tc>
          <w:tcPr>
            <w:tcW w:w="1540" w:type="dxa"/>
          </w:tcPr>
          <w:p w14:paraId="1FC06CD3" w14:textId="77777777" w:rsidR="00673DFE" w:rsidRPr="001A76F5" w:rsidRDefault="00673DFE" w:rsidP="009F6360">
            <w:pPr>
              <w:pStyle w:val="Table"/>
              <w:jc w:val="center"/>
            </w:pPr>
            <w:r w:rsidRPr="001A76F5">
              <w:t>Illustrative cost of the change</w:t>
            </w:r>
            <w:r w:rsidRPr="001A76F5">
              <w:br/>
              <w:t xml:space="preserve"> </w:t>
            </w:r>
          </w:p>
          <w:p w14:paraId="341B96F8" w14:textId="77777777" w:rsidR="00673DFE" w:rsidRPr="001A76F5" w:rsidRDefault="00673DFE" w:rsidP="00262D52">
            <w:pPr>
              <w:pStyle w:val="Table"/>
              <w:jc w:val="center"/>
            </w:pPr>
            <w:r w:rsidRPr="001A76F5">
              <w:t>£/</w:t>
            </w:r>
            <w:proofErr w:type="spellStart"/>
            <w:r>
              <w:t>MWh</w:t>
            </w:r>
            <w:proofErr w:type="spellEnd"/>
          </w:p>
        </w:tc>
      </w:tr>
      <w:tr w:rsidR="00673DFE" w14:paraId="13C8BA0B" w14:textId="77777777" w:rsidTr="00A5429F">
        <w:trPr>
          <w:jc w:val="center"/>
        </w:trPr>
        <w:tc>
          <w:tcPr>
            <w:tcW w:w="1728" w:type="dxa"/>
          </w:tcPr>
          <w:p w14:paraId="1B7950E3" w14:textId="77777777" w:rsidR="00673DFE" w:rsidRDefault="00673DFE" w:rsidP="00FF3BC3">
            <w:pPr>
              <w:pStyle w:val="Table"/>
            </w:pPr>
            <w:r>
              <w:t>ENWL</w:t>
            </w:r>
          </w:p>
        </w:tc>
        <w:tc>
          <w:tcPr>
            <w:tcW w:w="1539" w:type="dxa"/>
          </w:tcPr>
          <w:p w14:paraId="1820C22D" w14:textId="77777777" w:rsidR="00673DFE" w:rsidRPr="00262D52" w:rsidRDefault="00673DFE" w:rsidP="00262D52">
            <w:pPr>
              <w:pStyle w:val="Table"/>
              <w:tabs>
                <w:tab w:val="clear" w:pos="720"/>
                <w:tab w:val="decimal" w:pos="1008"/>
              </w:tabs>
            </w:pPr>
            <w:r w:rsidRPr="00262D52">
              <w:t>76,614</w:t>
            </w:r>
          </w:p>
        </w:tc>
        <w:tc>
          <w:tcPr>
            <w:tcW w:w="1540" w:type="dxa"/>
          </w:tcPr>
          <w:p w14:paraId="3BC5E42E" w14:textId="77777777" w:rsidR="00673DFE" w:rsidRPr="00262D52" w:rsidRDefault="00673DFE" w:rsidP="00262D52">
            <w:pPr>
              <w:pStyle w:val="Table"/>
              <w:tabs>
                <w:tab w:val="clear" w:pos="720"/>
                <w:tab w:val="decimal" w:pos="432"/>
                <w:tab w:val="decimal" w:pos="1008"/>
                <w:tab w:val="decimal" w:pos="1440"/>
              </w:tabs>
              <w:ind w:right="288"/>
              <w:jc w:val="right"/>
            </w:pPr>
            <w:r w:rsidRPr="00262D52">
              <w:t>204,260</w:t>
            </w:r>
          </w:p>
        </w:tc>
        <w:tc>
          <w:tcPr>
            <w:tcW w:w="1540" w:type="dxa"/>
          </w:tcPr>
          <w:p w14:paraId="31CF9C84" w14:textId="77777777" w:rsidR="00673DFE" w:rsidRPr="00262D52" w:rsidRDefault="00673DFE" w:rsidP="00262D52">
            <w:pPr>
              <w:pStyle w:val="Table"/>
              <w:tabs>
                <w:tab w:val="clear" w:pos="720"/>
                <w:tab w:val="decimal" w:pos="1008"/>
              </w:tabs>
              <w:ind w:right="288"/>
              <w:jc w:val="right"/>
            </w:pPr>
            <w:r w:rsidRPr="00262D52">
              <w:t>127,646</w:t>
            </w:r>
          </w:p>
        </w:tc>
        <w:tc>
          <w:tcPr>
            <w:tcW w:w="1540" w:type="dxa"/>
          </w:tcPr>
          <w:p w14:paraId="04B44BB3" w14:textId="77777777" w:rsidR="00673DFE" w:rsidRPr="00262D52" w:rsidRDefault="00673DFE" w:rsidP="00262D52">
            <w:pPr>
              <w:pStyle w:val="Table"/>
              <w:tabs>
                <w:tab w:val="decimal" w:pos="720"/>
              </w:tabs>
            </w:pPr>
            <w:r w:rsidRPr="00262D52">
              <w:t>7.1</w:t>
            </w:r>
          </w:p>
        </w:tc>
      </w:tr>
      <w:tr w:rsidR="00673DFE" w14:paraId="138B09F5" w14:textId="77777777" w:rsidTr="00A5429F">
        <w:trPr>
          <w:jc w:val="center"/>
        </w:trPr>
        <w:tc>
          <w:tcPr>
            <w:tcW w:w="1728" w:type="dxa"/>
          </w:tcPr>
          <w:p w14:paraId="1695EB53" w14:textId="77777777" w:rsidR="00673DFE" w:rsidRDefault="00673DFE" w:rsidP="00FF3BC3">
            <w:pPr>
              <w:pStyle w:val="Table"/>
            </w:pPr>
            <w:r>
              <w:t>NPG Northeast</w:t>
            </w:r>
          </w:p>
        </w:tc>
        <w:tc>
          <w:tcPr>
            <w:tcW w:w="1539" w:type="dxa"/>
          </w:tcPr>
          <w:p w14:paraId="107192E4" w14:textId="77777777" w:rsidR="00673DFE" w:rsidRPr="00262D52" w:rsidRDefault="00673DFE" w:rsidP="00262D52">
            <w:pPr>
              <w:pStyle w:val="Table"/>
              <w:tabs>
                <w:tab w:val="clear" w:pos="720"/>
                <w:tab w:val="decimal" w:pos="1008"/>
              </w:tabs>
            </w:pPr>
            <w:r w:rsidRPr="00262D52">
              <w:t>45,572</w:t>
            </w:r>
          </w:p>
        </w:tc>
        <w:tc>
          <w:tcPr>
            <w:tcW w:w="1540" w:type="dxa"/>
          </w:tcPr>
          <w:p w14:paraId="701CF018" w14:textId="77777777" w:rsidR="00673DFE" w:rsidRPr="00262D52" w:rsidRDefault="00673DFE" w:rsidP="00262D52">
            <w:pPr>
              <w:pStyle w:val="Table"/>
              <w:tabs>
                <w:tab w:val="clear" w:pos="720"/>
                <w:tab w:val="decimal" w:pos="1008"/>
              </w:tabs>
            </w:pPr>
            <w:r w:rsidRPr="00262D52">
              <w:t>225,259</w:t>
            </w:r>
          </w:p>
        </w:tc>
        <w:tc>
          <w:tcPr>
            <w:tcW w:w="1540" w:type="dxa"/>
          </w:tcPr>
          <w:p w14:paraId="2133BC8F" w14:textId="77777777" w:rsidR="00673DFE" w:rsidRPr="00262D52" w:rsidRDefault="00673DFE" w:rsidP="00262D52">
            <w:pPr>
              <w:pStyle w:val="Table"/>
              <w:tabs>
                <w:tab w:val="clear" w:pos="720"/>
                <w:tab w:val="decimal" w:pos="1008"/>
              </w:tabs>
            </w:pPr>
            <w:r w:rsidRPr="00262D52">
              <w:t>179,687</w:t>
            </w:r>
          </w:p>
        </w:tc>
        <w:tc>
          <w:tcPr>
            <w:tcW w:w="1540" w:type="dxa"/>
          </w:tcPr>
          <w:p w14:paraId="58D58CE5" w14:textId="77777777" w:rsidR="00673DFE" w:rsidRPr="00262D52" w:rsidRDefault="00673DFE" w:rsidP="00262D52">
            <w:pPr>
              <w:pStyle w:val="Table"/>
              <w:tabs>
                <w:tab w:val="decimal" w:pos="720"/>
              </w:tabs>
            </w:pPr>
            <w:r w:rsidRPr="00262D52">
              <w:t>9.9</w:t>
            </w:r>
          </w:p>
        </w:tc>
      </w:tr>
      <w:tr w:rsidR="00673DFE" w14:paraId="516E898D" w14:textId="77777777" w:rsidTr="00A5429F">
        <w:trPr>
          <w:jc w:val="center"/>
        </w:trPr>
        <w:tc>
          <w:tcPr>
            <w:tcW w:w="1728" w:type="dxa"/>
          </w:tcPr>
          <w:p w14:paraId="5809AA89" w14:textId="77777777" w:rsidR="00673DFE" w:rsidRDefault="00673DFE" w:rsidP="00FF3BC3">
            <w:pPr>
              <w:pStyle w:val="Table"/>
            </w:pPr>
            <w:r>
              <w:t>NPG Yorkshire</w:t>
            </w:r>
          </w:p>
        </w:tc>
        <w:tc>
          <w:tcPr>
            <w:tcW w:w="1539" w:type="dxa"/>
          </w:tcPr>
          <w:p w14:paraId="05E01BE5" w14:textId="77777777" w:rsidR="00673DFE" w:rsidRPr="00262D52" w:rsidRDefault="00673DFE" w:rsidP="00262D52">
            <w:pPr>
              <w:pStyle w:val="Table"/>
              <w:tabs>
                <w:tab w:val="clear" w:pos="720"/>
                <w:tab w:val="decimal" w:pos="1008"/>
              </w:tabs>
            </w:pPr>
            <w:r w:rsidRPr="00262D52">
              <w:t>38,316</w:t>
            </w:r>
          </w:p>
        </w:tc>
        <w:tc>
          <w:tcPr>
            <w:tcW w:w="1540" w:type="dxa"/>
          </w:tcPr>
          <w:p w14:paraId="019AD6AB" w14:textId="77777777" w:rsidR="00673DFE" w:rsidRPr="00262D52" w:rsidRDefault="00673DFE" w:rsidP="00262D52">
            <w:pPr>
              <w:pStyle w:val="Table"/>
              <w:tabs>
                <w:tab w:val="clear" w:pos="720"/>
                <w:tab w:val="decimal" w:pos="1008"/>
              </w:tabs>
            </w:pPr>
            <w:r w:rsidRPr="00262D52">
              <w:t>175,523</w:t>
            </w:r>
          </w:p>
        </w:tc>
        <w:tc>
          <w:tcPr>
            <w:tcW w:w="1540" w:type="dxa"/>
          </w:tcPr>
          <w:p w14:paraId="2C2A139F" w14:textId="77777777" w:rsidR="00673DFE" w:rsidRPr="00262D52" w:rsidRDefault="00673DFE" w:rsidP="00262D52">
            <w:pPr>
              <w:pStyle w:val="Table"/>
              <w:tabs>
                <w:tab w:val="clear" w:pos="720"/>
                <w:tab w:val="decimal" w:pos="1008"/>
              </w:tabs>
            </w:pPr>
            <w:r w:rsidRPr="00262D52">
              <w:t>137,207</w:t>
            </w:r>
          </w:p>
        </w:tc>
        <w:tc>
          <w:tcPr>
            <w:tcW w:w="1540" w:type="dxa"/>
          </w:tcPr>
          <w:p w14:paraId="653F88C3" w14:textId="77777777" w:rsidR="00673DFE" w:rsidRPr="00262D52" w:rsidRDefault="00673DFE" w:rsidP="00262D52">
            <w:pPr>
              <w:pStyle w:val="Table"/>
              <w:tabs>
                <w:tab w:val="decimal" w:pos="720"/>
              </w:tabs>
            </w:pPr>
            <w:r w:rsidRPr="00262D52">
              <w:t>7.6</w:t>
            </w:r>
          </w:p>
        </w:tc>
      </w:tr>
      <w:tr w:rsidR="00673DFE" w14:paraId="13144099" w14:textId="77777777" w:rsidTr="00A5429F">
        <w:trPr>
          <w:jc w:val="center"/>
        </w:trPr>
        <w:tc>
          <w:tcPr>
            <w:tcW w:w="1728" w:type="dxa"/>
          </w:tcPr>
          <w:p w14:paraId="189FCD2D" w14:textId="77777777" w:rsidR="00673DFE" w:rsidRDefault="00673DFE" w:rsidP="00FF3BC3">
            <w:pPr>
              <w:pStyle w:val="Table"/>
            </w:pPr>
            <w:r>
              <w:t>SPEN SPD</w:t>
            </w:r>
          </w:p>
        </w:tc>
        <w:tc>
          <w:tcPr>
            <w:tcW w:w="1539" w:type="dxa"/>
          </w:tcPr>
          <w:p w14:paraId="458F00DA" w14:textId="77777777" w:rsidR="00673DFE" w:rsidRPr="00262D52" w:rsidRDefault="00673DFE" w:rsidP="00262D52">
            <w:pPr>
              <w:pStyle w:val="Table"/>
              <w:tabs>
                <w:tab w:val="clear" w:pos="720"/>
                <w:tab w:val="decimal" w:pos="1008"/>
              </w:tabs>
            </w:pPr>
            <w:r w:rsidRPr="00262D52">
              <w:t>91,538</w:t>
            </w:r>
          </w:p>
        </w:tc>
        <w:tc>
          <w:tcPr>
            <w:tcW w:w="1540" w:type="dxa"/>
          </w:tcPr>
          <w:p w14:paraId="1A208C4E" w14:textId="77777777" w:rsidR="00673DFE" w:rsidRPr="00262D52" w:rsidRDefault="00673DFE" w:rsidP="00262D52">
            <w:pPr>
              <w:pStyle w:val="Table"/>
              <w:tabs>
                <w:tab w:val="clear" w:pos="720"/>
                <w:tab w:val="decimal" w:pos="1008"/>
              </w:tabs>
            </w:pPr>
            <w:r w:rsidRPr="00262D52">
              <w:t>191,560</w:t>
            </w:r>
          </w:p>
        </w:tc>
        <w:tc>
          <w:tcPr>
            <w:tcW w:w="1540" w:type="dxa"/>
          </w:tcPr>
          <w:p w14:paraId="6DB34F65" w14:textId="77777777" w:rsidR="00673DFE" w:rsidRPr="00262D52" w:rsidRDefault="00673DFE" w:rsidP="00262D52">
            <w:pPr>
              <w:pStyle w:val="Table"/>
              <w:tabs>
                <w:tab w:val="clear" w:pos="720"/>
                <w:tab w:val="decimal" w:pos="1008"/>
              </w:tabs>
            </w:pPr>
            <w:r w:rsidRPr="00262D52">
              <w:t>100,022</w:t>
            </w:r>
          </w:p>
        </w:tc>
        <w:tc>
          <w:tcPr>
            <w:tcW w:w="1540" w:type="dxa"/>
          </w:tcPr>
          <w:p w14:paraId="12F9C556" w14:textId="77777777" w:rsidR="00673DFE" w:rsidRPr="00262D52" w:rsidRDefault="00673DFE" w:rsidP="00262D52">
            <w:pPr>
              <w:pStyle w:val="Table"/>
              <w:tabs>
                <w:tab w:val="decimal" w:pos="720"/>
              </w:tabs>
            </w:pPr>
            <w:r w:rsidRPr="00262D52">
              <w:t>5.5</w:t>
            </w:r>
          </w:p>
        </w:tc>
      </w:tr>
      <w:tr w:rsidR="00673DFE" w14:paraId="4A919CA5" w14:textId="77777777" w:rsidTr="00A5429F">
        <w:trPr>
          <w:jc w:val="center"/>
        </w:trPr>
        <w:tc>
          <w:tcPr>
            <w:tcW w:w="1728" w:type="dxa"/>
          </w:tcPr>
          <w:p w14:paraId="0AFEE495" w14:textId="77777777" w:rsidR="00673DFE" w:rsidRDefault="00673DFE" w:rsidP="00FF3BC3">
            <w:pPr>
              <w:pStyle w:val="Table"/>
            </w:pPr>
            <w:r>
              <w:t>SPEN SPM</w:t>
            </w:r>
          </w:p>
        </w:tc>
        <w:tc>
          <w:tcPr>
            <w:tcW w:w="1539" w:type="dxa"/>
          </w:tcPr>
          <w:p w14:paraId="6F93E80A" w14:textId="77777777" w:rsidR="00673DFE" w:rsidRPr="00262D52" w:rsidRDefault="00673DFE" w:rsidP="00262D52">
            <w:pPr>
              <w:pStyle w:val="Table"/>
              <w:tabs>
                <w:tab w:val="clear" w:pos="720"/>
                <w:tab w:val="decimal" w:pos="1008"/>
              </w:tabs>
            </w:pPr>
            <w:r w:rsidRPr="00262D52">
              <w:t>98,992</w:t>
            </w:r>
          </w:p>
        </w:tc>
        <w:tc>
          <w:tcPr>
            <w:tcW w:w="1540" w:type="dxa"/>
          </w:tcPr>
          <w:p w14:paraId="1839C584" w14:textId="77777777" w:rsidR="00673DFE" w:rsidRPr="00262D52" w:rsidRDefault="00673DFE" w:rsidP="00262D52">
            <w:pPr>
              <w:pStyle w:val="Table"/>
              <w:tabs>
                <w:tab w:val="clear" w:pos="720"/>
                <w:tab w:val="decimal" w:pos="1008"/>
              </w:tabs>
            </w:pPr>
            <w:r w:rsidRPr="00262D52">
              <w:t>335,791</w:t>
            </w:r>
          </w:p>
        </w:tc>
        <w:tc>
          <w:tcPr>
            <w:tcW w:w="1540" w:type="dxa"/>
          </w:tcPr>
          <w:p w14:paraId="7B5B126B" w14:textId="77777777" w:rsidR="00673DFE" w:rsidRPr="00262D52" w:rsidRDefault="00673DFE" w:rsidP="00262D52">
            <w:pPr>
              <w:pStyle w:val="Table"/>
              <w:tabs>
                <w:tab w:val="clear" w:pos="720"/>
                <w:tab w:val="decimal" w:pos="1008"/>
              </w:tabs>
            </w:pPr>
            <w:r w:rsidRPr="00262D52">
              <w:t>236,799</w:t>
            </w:r>
          </w:p>
        </w:tc>
        <w:tc>
          <w:tcPr>
            <w:tcW w:w="1540" w:type="dxa"/>
          </w:tcPr>
          <w:p w14:paraId="6FDE9F49" w14:textId="77777777" w:rsidR="00673DFE" w:rsidRPr="00262D52" w:rsidRDefault="00673DFE" w:rsidP="00262D52">
            <w:pPr>
              <w:pStyle w:val="Table"/>
              <w:tabs>
                <w:tab w:val="decimal" w:pos="720"/>
              </w:tabs>
            </w:pPr>
            <w:r w:rsidRPr="00262D52">
              <w:t>13.1</w:t>
            </w:r>
          </w:p>
        </w:tc>
      </w:tr>
      <w:tr w:rsidR="00673DFE" w14:paraId="42E66289" w14:textId="77777777" w:rsidTr="00A5429F">
        <w:trPr>
          <w:jc w:val="center"/>
        </w:trPr>
        <w:tc>
          <w:tcPr>
            <w:tcW w:w="1728" w:type="dxa"/>
          </w:tcPr>
          <w:p w14:paraId="4F3339C9" w14:textId="77777777" w:rsidR="00673DFE" w:rsidRDefault="00673DFE" w:rsidP="00FF3BC3">
            <w:pPr>
              <w:pStyle w:val="Table"/>
            </w:pPr>
            <w:r>
              <w:t>SSEPD SEPD</w:t>
            </w:r>
          </w:p>
        </w:tc>
        <w:tc>
          <w:tcPr>
            <w:tcW w:w="1539" w:type="dxa"/>
          </w:tcPr>
          <w:p w14:paraId="7B3CB7AC" w14:textId="77777777" w:rsidR="00673DFE" w:rsidRPr="00262D52" w:rsidRDefault="00673DFE" w:rsidP="00262D52">
            <w:pPr>
              <w:pStyle w:val="Table"/>
              <w:tabs>
                <w:tab w:val="clear" w:pos="720"/>
                <w:tab w:val="decimal" w:pos="1008"/>
              </w:tabs>
            </w:pPr>
            <w:r w:rsidRPr="00262D52">
              <w:t>95,415</w:t>
            </w:r>
          </w:p>
        </w:tc>
        <w:tc>
          <w:tcPr>
            <w:tcW w:w="1540" w:type="dxa"/>
          </w:tcPr>
          <w:p w14:paraId="635F31A6" w14:textId="77777777" w:rsidR="00673DFE" w:rsidRPr="00262D52" w:rsidRDefault="00673DFE" w:rsidP="00262D52">
            <w:pPr>
              <w:pStyle w:val="Table"/>
              <w:tabs>
                <w:tab w:val="clear" w:pos="720"/>
                <w:tab w:val="decimal" w:pos="1008"/>
              </w:tabs>
            </w:pPr>
            <w:r w:rsidRPr="00262D52">
              <w:t>199,583</w:t>
            </w:r>
          </w:p>
        </w:tc>
        <w:tc>
          <w:tcPr>
            <w:tcW w:w="1540" w:type="dxa"/>
          </w:tcPr>
          <w:p w14:paraId="5600AA5C" w14:textId="77777777" w:rsidR="00673DFE" w:rsidRPr="00262D52" w:rsidRDefault="00673DFE" w:rsidP="00262D52">
            <w:pPr>
              <w:pStyle w:val="Table"/>
              <w:tabs>
                <w:tab w:val="clear" w:pos="720"/>
                <w:tab w:val="decimal" w:pos="1008"/>
              </w:tabs>
            </w:pPr>
            <w:r w:rsidRPr="00262D52">
              <w:t>104,169</w:t>
            </w:r>
          </w:p>
        </w:tc>
        <w:tc>
          <w:tcPr>
            <w:tcW w:w="1540" w:type="dxa"/>
          </w:tcPr>
          <w:p w14:paraId="72946B54" w14:textId="77777777" w:rsidR="00673DFE" w:rsidRPr="00262D52" w:rsidRDefault="00673DFE" w:rsidP="00262D52">
            <w:pPr>
              <w:pStyle w:val="Table"/>
              <w:tabs>
                <w:tab w:val="decimal" w:pos="720"/>
              </w:tabs>
            </w:pPr>
            <w:r w:rsidRPr="00262D52">
              <w:t>5.8</w:t>
            </w:r>
          </w:p>
        </w:tc>
      </w:tr>
      <w:tr w:rsidR="00673DFE" w14:paraId="70382294" w14:textId="77777777" w:rsidTr="00A5429F">
        <w:trPr>
          <w:jc w:val="center"/>
        </w:trPr>
        <w:tc>
          <w:tcPr>
            <w:tcW w:w="1728" w:type="dxa"/>
          </w:tcPr>
          <w:p w14:paraId="1B5F06B3" w14:textId="77777777" w:rsidR="00673DFE" w:rsidRDefault="00673DFE" w:rsidP="00FF3BC3">
            <w:pPr>
              <w:pStyle w:val="Table"/>
            </w:pPr>
            <w:r>
              <w:t>SSEPD SHEPD</w:t>
            </w:r>
          </w:p>
        </w:tc>
        <w:tc>
          <w:tcPr>
            <w:tcW w:w="1539" w:type="dxa"/>
          </w:tcPr>
          <w:p w14:paraId="2790CE35" w14:textId="77777777" w:rsidR="00673DFE" w:rsidRPr="00262D52" w:rsidRDefault="00673DFE" w:rsidP="00262D52">
            <w:pPr>
              <w:pStyle w:val="Table"/>
              <w:tabs>
                <w:tab w:val="clear" w:pos="720"/>
                <w:tab w:val="decimal" w:pos="1008"/>
              </w:tabs>
            </w:pPr>
            <w:r w:rsidRPr="00262D52">
              <w:t>231,298</w:t>
            </w:r>
          </w:p>
        </w:tc>
        <w:tc>
          <w:tcPr>
            <w:tcW w:w="1540" w:type="dxa"/>
          </w:tcPr>
          <w:p w14:paraId="79437E2C" w14:textId="77777777" w:rsidR="00673DFE" w:rsidRPr="00262D52" w:rsidRDefault="00673DFE" w:rsidP="00262D52">
            <w:pPr>
              <w:pStyle w:val="Table"/>
              <w:tabs>
                <w:tab w:val="clear" w:pos="720"/>
                <w:tab w:val="decimal" w:pos="1008"/>
              </w:tabs>
            </w:pPr>
            <w:r w:rsidRPr="00262D52">
              <w:t>474,039</w:t>
            </w:r>
          </w:p>
        </w:tc>
        <w:tc>
          <w:tcPr>
            <w:tcW w:w="1540" w:type="dxa"/>
          </w:tcPr>
          <w:p w14:paraId="2D4C63A8" w14:textId="77777777" w:rsidR="00673DFE" w:rsidRPr="00262D52" w:rsidRDefault="00673DFE" w:rsidP="00262D52">
            <w:pPr>
              <w:pStyle w:val="Table"/>
              <w:tabs>
                <w:tab w:val="clear" w:pos="720"/>
                <w:tab w:val="decimal" w:pos="1008"/>
              </w:tabs>
            </w:pPr>
            <w:r w:rsidRPr="00262D52">
              <w:t>242,740</w:t>
            </w:r>
          </w:p>
        </w:tc>
        <w:tc>
          <w:tcPr>
            <w:tcW w:w="1540" w:type="dxa"/>
          </w:tcPr>
          <w:p w14:paraId="6697FFAB" w14:textId="77777777" w:rsidR="00673DFE" w:rsidRPr="00262D52" w:rsidRDefault="00673DFE" w:rsidP="00262D52">
            <w:pPr>
              <w:pStyle w:val="Table"/>
              <w:tabs>
                <w:tab w:val="decimal" w:pos="720"/>
              </w:tabs>
            </w:pPr>
            <w:r w:rsidRPr="00262D52">
              <w:t>13.4</w:t>
            </w:r>
          </w:p>
        </w:tc>
      </w:tr>
      <w:tr w:rsidR="00673DFE" w14:paraId="6258DF38" w14:textId="77777777" w:rsidTr="00A5429F">
        <w:trPr>
          <w:jc w:val="center"/>
        </w:trPr>
        <w:tc>
          <w:tcPr>
            <w:tcW w:w="1728" w:type="dxa"/>
          </w:tcPr>
          <w:p w14:paraId="34937157" w14:textId="77777777" w:rsidR="00673DFE" w:rsidRDefault="00673DFE" w:rsidP="00FF3BC3">
            <w:pPr>
              <w:pStyle w:val="Table"/>
            </w:pPr>
            <w:r>
              <w:t>UKPN EPN</w:t>
            </w:r>
          </w:p>
        </w:tc>
        <w:tc>
          <w:tcPr>
            <w:tcW w:w="1539" w:type="dxa"/>
          </w:tcPr>
          <w:p w14:paraId="176FEDE6" w14:textId="77777777" w:rsidR="00673DFE" w:rsidRPr="00262D52" w:rsidRDefault="00673DFE" w:rsidP="00262D52">
            <w:pPr>
              <w:pStyle w:val="Table"/>
              <w:tabs>
                <w:tab w:val="clear" w:pos="720"/>
                <w:tab w:val="decimal" w:pos="1008"/>
              </w:tabs>
            </w:pPr>
            <w:r w:rsidRPr="00262D52">
              <w:t>77,127</w:t>
            </w:r>
          </w:p>
        </w:tc>
        <w:tc>
          <w:tcPr>
            <w:tcW w:w="1540" w:type="dxa"/>
          </w:tcPr>
          <w:p w14:paraId="3C065B7C" w14:textId="77777777" w:rsidR="00673DFE" w:rsidRPr="00262D52" w:rsidRDefault="00673DFE" w:rsidP="00262D52">
            <w:pPr>
              <w:pStyle w:val="Table"/>
              <w:tabs>
                <w:tab w:val="clear" w:pos="720"/>
                <w:tab w:val="decimal" w:pos="1008"/>
              </w:tabs>
            </w:pPr>
            <w:r w:rsidRPr="00262D52">
              <w:t>85,276</w:t>
            </w:r>
          </w:p>
        </w:tc>
        <w:tc>
          <w:tcPr>
            <w:tcW w:w="1540" w:type="dxa"/>
          </w:tcPr>
          <w:p w14:paraId="5AF07019" w14:textId="77777777" w:rsidR="00673DFE" w:rsidRPr="00262D52" w:rsidRDefault="00673DFE" w:rsidP="00262D52">
            <w:pPr>
              <w:pStyle w:val="Table"/>
              <w:tabs>
                <w:tab w:val="clear" w:pos="720"/>
                <w:tab w:val="decimal" w:pos="1008"/>
              </w:tabs>
            </w:pPr>
            <w:r w:rsidRPr="00262D52">
              <w:t>8,149</w:t>
            </w:r>
          </w:p>
        </w:tc>
        <w:tc>
          <w:tcPr>
            <w:tcW w:w="1540" w:type="dxa"/>
          </w:tcPr>
          <w:p w14:paraId="550956EF" w14:textId="77777777" w:rsidR="00673DFE" w:rsidRPr="00262D52" w:rsidRDefault="00673DFE" w:rsidP="00262D52">
            <w:pPr>
              <w:pStyle w:val="Table"/>
              <w:tabs>
                <w:tab w:val="decimal" w:pos="720"/>
              </w:tabs>
            </w:pPr>
            <w:r w:rsidRPr="00262D52">
              <w:t>0.5</w:t>
            </w:r>
          </w:p>
        </w:tc>
      </w:tr>
      <w:tr w:rsidR="00673DFE" w14:paraId="47A74D63" w14:textId="77777777" w:rsidTr="00A5429F">
        <w:trPr>
          <w:jc w:val="center"/>
        </w:trPr>
        <w:tc>
          <w:tcPr>
            <w:tcW w:w="1728" w:type="dxa"/>
          </w:tcPr>
          <w:p w14:paraId="067863BB" w14:textId="77777777" w:rsidR="00673DFE" w:rsidRDefault="00673DFE" w:rsidP="00FF3BC3">
            <w:pPr>
              <w:pStyle w:val="Table"/>
            </w:pPr>
            <w:r>
              <w:t>UKPN LPN</w:t>
            </w:r>
          </w:p>
        </w:tc>
        <w:tc>
          <w:tcPr>
            <w:tcW w:w="1539" w:type="dxa"/>
          </w:tcPr>
          <w:p w14:paraId="53969E20" w14:textId="77777777" w:rsidR="00673DFE" w:rsidRPr="00262D52" w:rsidRDefault="00673DFE" w:rsidP="00262D52">
            <w:pPr>
              <w:pStyle w:val="Table"/>
              <w:tabs>
                <w:tab w:val="clear" w:pos="720"/>
                <w:tab w:val="decimal" w:pos="1008"/>
              </w:tabs>
            </w:pPr>
            <w:r w:rsidRPr="00262D52">
              <w:t>141,330</w:t>
            </w:r>
          </w:p>
        </w:tc>
        <w:tc>
          <w:tcPr>
            <w:tcW w:w="1540" w:type="dxa"/>
          </w:tcPr>
          <w:p w14:paraId="543D1D5F" w14:textId="77777777" w:rsidR="00673DFE" w:rsidRPr="00262D52" w:rsidRDefault="00673DFE" w:rsidP="00262D52">
            <w:pPr>
              <w:pStyle w:val="Table"/>
              <w:tabs>
                <w:tab w:val="clear" w:pos="720"/>
                <w:tab w:val="decimal" w:pos="1008"/>
              </w:tabs>
            </w:pPr>
            <w:r w:rsidRPr="00262D52">
              <w:t>130,198</w:t>
            </w:r>
          </w:p>
        </w:tc>
        <w:tc>
          <w:tcPr>
            <w:tcW w:w="1540" w:type="dxa"/>
          </w:tcPr>
          <w:p w14:paraId="479CA6FE" w14:textId="77777777" w:rsidR="00673DFE" w:rsidRPr="00262D52" w:rsidRDefault="00673DFE" w:rsidP="00262D52">
            <w:pPr>
              <w:pStyle w:val="Table"/>
              <w:tabs>
                <w:tab w:val="clear" w:pos="720"/>
                <w:tab w:val="decimal" w:pos="1008"/>
              </w:tabs>
            </w:pPr>
            <w:r w:rsidRPr="00262D52">
              <w:t>(11,132)</w:t>
            </w:r>
          </w:p>
        </w:tc>
        <w:tc>
          <w:tcPr>
            <w:tcW w:w="1540" w:type="dxa"/>
          </w:tcPr>
          <w:p w14:paraId="5FBF442D" w14:textId="77777777" w:rsidR="00673DFE" w:rsidRPr="00262D52" w:rsidRDefault="00673DFE" w:rsidP="00262D52">
            <w:pPr>
              <w:pStyle w:val="Table"/>
              <w:tabs>
                <w:tab w:val="decimal" w:pos="720"/>
              </w:tabs>
            </w:pPr>
            <w:r w:rsidRPr="00262D52">
              <w:t>(0.6)</w:t>
            </w:r>
          </w:p>
        </w:tc>
      </w:tr>
      <w:tr w:rsidR="00673DFE" w14:paraId="2298CBAF" w14:textId="77777777" w:rsidTr="00A5429F">
        <w:trPr>
          <w:jc w:val="center"/>
        </w:trPr>
        <w:tc>
          <w:tcPr>
            <w:tcW w:w="1728" w:type="dxa"/>
          </w:tcPr>
          <w:p w14:paraId="78509D09" w14:textId="77777777" w:rsidR="00673DFE" w:rsidRDefault="00673DFE" w:rsidP="00FF3BC3">
            <w:pPr>
              <w:pStyle w:val="Table"/>
            </w:pPr>
            <w:r>
              <w:t>UKPN SPN</w:t>
            </w:r>
          </w:p>
        </w:tc>
        <w:tc>
          <w:tcPr>
            <w:tcW w:w="1539" w:type="dxa"/>
          </w:tcPr>
          <w:p w14:paraId="47A56CD0" w14:textId="77777777" w:rsidR="00673DFE" w:rsidRPr="00262D52" w:rsidRDefault="00673DFE" w:rsidP="00262D52">
            <w:pPr>
              <w:pStyle w:val="Table"/>
              <w:tabs>
                <w:tab w:val="clear" w:pos="720"/>
                <w:tab w:val="decimal" w:pos="1008"/>
              </w:tabs>
            </w:pPr>
            <w:r w:rsidRPr="00262D52">
              <w:t>74,316</w:t>
            </w:r>
          </w:p>
        </w:tc>
        <w:tc>
          <w:tcPr>
            <w:tcW w:w="1540" w:type="dxa"/>
          </w:tcPr>
          <w:p w14:paraId="304C3BDC" w14:textId="77777777" w:rsidR="00673DFE" w:rsidRPr="00262D52" w:rsidRDefault="00673DFE" w:rsidP="00262D52">
            <w:pPr>
              <w:pStyle w:val="Table"/>
              <w:tabs>
                <w:tab w:val="clear" w:pos="720"/>
                <w:tab w:val="decimal" w:pos="1008"/>
              </w:tabs>
            </w:pPr>
            <w:r w:rsidRPr="00262D52">
              <w:t>163,760</w:t>
            </w:r>
          </w:p>
        </w:tc>
        <w:tc>
          <w:tcPr>
            <w:tcW w:w="1540" w:type="dxa"/>
          </w:tcPr>
          <w:p w14:paraId="77A127A8" w14:textId="77777777" w:rsidR="00673DFE" w:rsidRPr="00262D52" w:rsidRDefault="00673DFE" w:rsidP="00262D52">
            <w:pPr>
              <w:pStyle w:val="Table"/>
              <w:tabs>
                <w:tab w:val="clear" w:pos="720"/>
                <w:tab w:val="decimal" w:pos="1008"/>
              </w:tabs>
            </w:pPr>
            <w:r w:rsidRPr="00262D52">
              <w:t>89,444</w:t>
            </w:r>
          </w:p>
        </w:tc>
        <w:tc>
          <w:tcPr>
            <w:tcW w:w="1540" w:type="dxa"/>
          </w:tcPr>
          <w:p w14:paraId="7C7B55D5" w14:textId="77777777" w:rsidR="00673DFE" w:rsidRPr="00262D52" w:rsidRDefault="00673DFE" w:rsidP="00262D52">
            <w:pPr>
              <w:pStyle w:val="Table"/>
              <w:tabs>
                <w:tab w:val="decimal" w:pos="720"/>
              </w:tabs>
            </w:pPr>
            <w:r w:rsidRPr="00262D52">
              <w:t>5.0</w:t>
            </w:r>
          </w:p>
        </w:tc>
      </w:tr>
      <w:tr w:rsidR="00673DFE" w14:paraId="3BCE53DA" w14:textId="77777777" w:rsidTr="00A5429F">
        <w:trPr>
          <w:jc w:val="center"/>
        </w:trPr>
        <w:tc>
          <w:tcPr>
            <w:tcW w:w="1728" w:type="dxa"/>
          </w:tcPr>
          <w:p w14:paraId="5ACAC36D" w14:textId="77777777" w:rsidR="00673DFE" w:rsidRDefault="00673DFE" w:rsidP="00FF3BC3">
            <w:pPr>
              <w:pStyle w:val="Table"/>
            </w:pPr>
            <w:r>
              <w:t xml:space="preserve">WPD </w:t>
            </w:r>
            <w:proofErr w:type="spellStart"/>
            <w:r>
              <w:t>EastM</w:t>
            </w:r>
            <w:proofErr w:type="spellEnd"/>
          </w:p>
        </w:tc>
        <w:tc>
          <w:tcPr>
            <w:tcW w:w="1539" w:type="dxa"/>
          </w:tcPr>
          <w:p w14:paraId="2FB8180C" w14:textId="77777777" w:rsidR="00673DFE" w:rsidRPr="00262D52" w:rsidRDefault="00673DFE" w:rsidP="00262D52">
            <w:pPr>
              <w:pStyle w:val="Table"/>
              <w:tabs>
                <w:tab w:val="clear" w:pos="720"/>
                <w:tab w:val="decimal" w:pos="1008"/>
              </w:tabs>
            </w:pPr>
            <w:r w:rsidRPr="00262D52">
              <w:t>73,407</w:t>
            </w:r>
          </w:p>
        </w:tc>
        <w:tc>
          <w:tcPr>
            <w:tcW w:w="1540" w:type="dxa"/>
          </w:tcPr>
          <w:p w14:paraId="447F49F8" w14:textId="77777777" w:rsidR="00673DFE" w:rsidRPr="00262D52" w:rsidRDefault="00673DFE" w:rsidP="00262D52">
            <w:pPr>
              <w:pStyle w:val="Table"/>
              <w:tabs>
                <w:tab w:val="clear" w:pos="720"/>
                <w:tab w:val="decimal" w:pos="1008"/>
              </w:tabs>
            </w:pPr>
            <w:r w:rsidRPr="00262D52">
              <w:t>160,543</w:t>
            </w:r>
          </w:p>
        </w:tc>
        <w:tc>
          <w:tcPr>
            <w:tcW w:w="1540" w:type="dxa"/>
          </w:tcPr>
          <w:p w14:paraId="62457F1E" w14:textId="77777777" w:rsidR="00673DFE" w:rsidRPr="00262D52" w:rsidRDefault="00673DFE" w:rsidP="00262D52">
            <w:pPr>
              <w:pStyle w:val="Table"/>
              <w:tabs>
                <w:tab w:val="clear" w:pos="720"/>
                <w:tab w:val="decimal" w:pos="1008"/>
              </w:tabs>
            </w:pPr>
            <w:r w:rsidRPr="00262D52">
              <w:t>87,135</w:t>
            </w:r>
          </w:p>
        </w:tc>
        <w:tc>
          <w:tcPr>
            <w:tcW w:w="1540" w:type="dxa"/>
          </w:tcPr>
          <w:p w14:paraId="1F2A7B71" w14:textId="77777777" w:rsidR="00673DFE" w:rsidRPr="00262D52" w:rsidRDefault="00673DFE" w:rsidP="00262D52">
            <w:pPr>
              <w:pStyle w:val="Table"/>
              <w:tabs>
                <w:tab w:val="decimal" w:pos="720"/>
              </w:tabs>
            </w:pPr>
            <w:r w:rsidRPr="00262D52">
              <w:t>4.8</w:t>
            </w:r>
          </w:p>
        </w:tc>
      </w:tr>
      <w:tr w:rsidR="00673DFE" w14:paraId="6A235D1B" w14:textId="77777777" w:rsidTr="00A5429F">
        <w:trPr>
          <w:jc w:val="center"/>
        </w:trPr>
        <w:tc>
          <w:tcPr>
            <w:tcW w:w="1728" w:type="dxa"/>
          </w:tcPr>
          <w:p w14:paraId="757395B4" w14:textId="77777777" w:rsidR="00673DFE" w:rsidRDefault="00673DFE" w:rsidP="00FF3BC3">
            <w:pPr>
              <w:pStyle w:val="Table"/>
            </w:pPr>
            <w:r>
              <w:t xml:space="preserve">WPD </w:t>
            </w:r>
            <w:proofErr w:type="spellStart"/>
            <w:r>
              <w:t>SWales</w:t>
            </w:r>
            <w:proofErr w:type="spellEnd"/>
          </w:p>
        </w:tc>
        <w:tc>
          <w:tcPr>
            <w:tcW w:w="1539" w:type="dxa"/>
          </w:tcPr>
          <w:p w14:paraId="6E430D7A" w14:textId="77777777" w:rsidR="00673DFE" w:rsidRPr="00262D52" w:rsidRDefault="00673DFE" w:rsidP="00262D52">
            <w:pPr>
              <w:pStyle w:val="Table"/>
              <w:tabs>
                <w:tab w:val="clear" w:pos="720"/>
                <w:tab w:val="decimal" w:pos="1008"/>
              </w:tabs>
            </w:pPr>
            <w:r w:rsidRPr="00262D52">
              <w:t>73,332</w:t>
            </w:r>
          </w:p>
        </w:tc>
        <w:tc>
          <w:tcPr>
            <w:tcW w:w="1540" w:type="dxa"/>
          </w:tcPr>
          <w:p w14:paraId="1D690186" w14:textId="77777777" w:rsidR="00673DFE" w:rsidRPr="00262D52" w:rsidRDefault="00673DFE" w:rsidP="00262D52">
            <w:pPr>
              <w:pStyle w:val="Table"/>
              <w:tabs>
                <w:tab w:val="clear" w:pos="720"/>
                <w:tab w:val="decimal" w:pos="1008"/>
              </w:tabs>
            </w:pPr>
            <w:r w:rsidRPr="00262D52">
              <w:t>325,026</w:t>
            </w:r>
          </w:p>
        </w:tc>
        <w:tc>
          <w:tcPr>
            <w:tcW w:w="1540" w:type="dxa"/>
          </w:tcPr>
          <w:p w14:paraId="606C436D" w14:textId="77777777" w:rsidR="00673DFE" w:rsidRPr="00262D52" w:rsidRDefault="00673DFE" w:rsidP="00262D52">
            <w:pPr>
              <w:pStyle w:val="Table"/>
              <w:tabs>
                <w:tab w:val="clear" w:pos="720"/>
                <w:tab w:val="decimal" w:pos="1008"/>
              </w:tabs>
            </w:pPr>
            <w:r w:rsidRPr="00262D52">
              <w:t>251,694</w:t>
            </w:r>
          </w:p>
        </w:tc>
        <w:tc>
          <w:tcPr>
            <w:tcW w:w="1540" w:type="dxa"/>
          </w:tcPr>
          <w:p w14:paraId="34638CF5" w14:textId="77777777" w:rsidR="00673DFE" w:rsidRPr="00262D52" w:rsidRDefault="00673DFE" w:rsidP="00262D52">
            <w:pPr>
              <w:pStyle w:val="Table"/>
              <w:tabs>
                <w:tab w:val="decimal" w:pos="720"/>
              </w:tabs>
            </w:pPr>
            <w:r w:rsidRPr="00262D52">
              <w:t>13.9</w:t>
            </w:r>
          </w:p>
        </w:tc>
      </w:tr>
      <w:tr w:rsidR="00673DFE" w14:paraId="06EA88E8" w14:textId="77777777" w:rsidTr="00A5429F">
        <w:trPr>
          <w:jc w:val="center"/>
        </w:trPr>
        <w:tc>
          <w:tcPr>
            <w:tcW w:w="1728" w:type="dxa"/>
          </w:tcPr>
          <w:p w14:paraId="69B7C74C" w14:textId="77777777" w:rsidR="00673DFE" w:rsidRDefault="00673DFE" w:rsidP="00FF3BC3">
            <w:pPr>
              <w:pStyle w:val="Table"/>
            </w:pPr>
            <w:r>
              <w:t xml:space="preserve">WPD </w:t>
            </w:r>
            <w:proofErr w:type="spellStart"/>
            <w:r>
              <w:t>SWest</w:t>
            </w:r>
            <w:proofErr w:type="spellEnd"/>
          </w:p>
        </w:tc>
        <w:tc>
          <w:tcPr>
            <w:tcW w:w="1539" w:type="dxa"/>
          </w:tcPr>
          <w:p w14:paraId="4A659D6E" w14:textId="77777777" w:rsidR="00673DFE" w:rsidRPr="00262D52" w:rsidRDefault="00673DFE" w:rsidP="00262D52">
            <w:pPr>
              <w:pStyle w:val="Table"/>
              <w:tabs>
                <w:tab w:val="clear" w:pos="720"/>
                <w:tab w:val="decimal" w:pos="1008"/>
              </w:tabs>
            </w:pPr>
            <w:r w:rsidRPr="00262D52">
              <w:t>53,957</w:t>
            </w:r>
          </w:p>
        </w:tc>
        <w:tc>
          <w:tcPr>
            <w:tcW w:w="1540" w:type="dxa"/>
          </w:tcPr>
          <w:p w14:paraId="3755513D" w14:textId="77777777" w:rsidR="00673DFE" w:rsidRPr="00262D52" w:rsidRDefault="00673DFE" w:rsidP="00262D52">
            <w:pPr>
              <w:pStyle w:val="Table"/>
              <w:tabs>
                <w:tab w:val="clear" w:pos="720"/>
                <w:tab w:val="decimal" w:pos="1008"/>
              </w:tabs>
            </w:pPr>
            <w:r w:rsidRPr="00262D52">
              <w:t>293,680</w:t>
            </w:r>
          </w:p>
        </w:tc>
        <w:tc>
          <w:tcPr>
            <w:tcW w:w="1540" w:type="dxa"/>
          </w:tcPr>
          <w:p w14:paraId="5F1A678D" w14:textId="77777777" w:rsidR="00673DFE" w:rsidRPr="00262D52" w:rsidRDefault="00673DFE" w:rsidP="00262D52">
            <w:pPr>
              <w:pStyle w:val="Table"/>
              <w:tabs>
                <w:tab w:val="clear" w:pos="720"/>
                <w:tab w:val="decimal" w:pos="1008"/>
              </w:tabs>
            </w:pPr>
            <w:r w:rsidRPr="00262D52">
              <w:t>239,723</w:t>
            </w:r>
          </w:p>
        </w:tc>
        <w:tc>
          <w:tcPr>
            <w:tcW w:w="1540" w:type="dxa"/>
          </w:tcPr>
          <w:p w14:paraId="130376A0" w14:textId="77777777" w:rsidR="00673DFE" w:rsidRPr="00262D52" w:rsidRDefault="00673DFE" w:rsidP="00262D52">
            <w:pPr>
              <w:pStyle w:val="Table"/>
              <w:tabs>
                <w:tab w:val="decimal" w:pos="720"/>
              </w:tabs>
            </w:pPr>
            <w:r w:rsidRPr="00262D52">
              <w:t>13.3</w:t>
            </w:r>
          </w:p>
        </w:tc>
      </w:tr>
      <w:tr w:rsidR="00673DFE" w14:paraId="5D8B14ED" w14:textId="77777777" w:rsidTr="00A5429F">
        <w:trPr>
          <w:jc w:val="center"/>
        </w:trPr>
        <w:tc>
          <w:tcPr>
            <w:tcW w:w="1728" w:type="dxa"/>
          </w:tcPr>
          <w:p w14:paraId="6E92E945" w14:textId="77777777" w:rsidR="00673DFE" w:rsidRDefault="00673DFE" w:rsidP="00FF3BC3">
            <w:pPr>
              <w:pStyle w:val="Table"/>
            </w:pPr>
            <w:r>
              <w:t xml:space="preserve">WPD </w:t>
            </w:r>
            <w:proofErr w:type="spellStart"/>
            <w:r>
              <w:t>WestM</w:t>
            </w:r>
            <w:proofErr w:type="spellEnd"/>
          </w:p>
        </w:tc>
        <w:tc>
          <w:tcPr>
            <w:tcW w:w="1539" w:type="dxa"/>
          </w:tcPr>
          <w:p w14:paraId="150BF6BA" w14:textId="77777777" w:rsidR="00673DFE" w:rsidRPr="00262D52" w:rsidRDefault="00673DFE" w:rsidP="00262D52">
            <w:pPr>
              <w:pStyle w:val="Table"/>
              <w:tabs>
                <w:tab w:val="clear" w:pos="720"/>
                <w:tab w:val="decimal" w:pos="1008"/>
              </w:tabs>
            </w:pPr>
            <w:r w:rsidRPr="00262D52">
              <w:t>86,350</w:t>
            </w:r>
          </w:p>
        </w:tc>
        <w:tc>
          <w:tcPr>
            <w:tcW w:w="1540" w:type="dxa"/>
          </w:tcPr>
          <w:p w14:paraId="0704FE63" w14:textId="77777777" w:rsidR="00673DFE" w:rsidRPr="00262D52" w:rsidRDefault="00673DFE" w:rsidP="00262D52">
            <w:pPr>
              <w:pStyle w:val="Table"/>
              <w:tabs>
                <w:tab w:val="clear" w:pos="720"/>
                <w:tab w:val="decimal" w:pos="1008"/>
              </w:tabs>
            </w:pPr>
            <w:r w:rsidRPr="00262D52">
              <w:t>223,052</w:t>
            </w:r>
          </w:p>
        </w:tc>
        <w:tc>
          <w:tcPr>
            <w:tcW w:w="1540" w:type="dxa"/>
          </w:tcPr>
          <w:p w14:paraId="659FD402" w14:textId="77777777" w:rsidR="00673DFE" w:rsidRPr="00262D52" w:rsidRDefault="00673DFE" w:rsidP="00262D52">
            <w:pPr>
              <w:pStyle w:val="Table"/>
              <w:tabs>
                <w:tab w:val="clear" w:pos="720"/>
                <w:tab w:val="decimal" w:pos="1008"/>
              </w:tabs>
            </w:pPr>
            <w:r w:rsidRPr="00262D52">
              <w:t>136,702</w:t>
            </w:r>
          </w:p>
        </w:tc>
        <w:tc>
          <w:tcPr>
            <w:tcW w:w="1540" w:type="dxa"/>
          </w:tcPr>
          <w:p w14:paraId="3F954BD6" w14:textId="77777777" w:rsidR="00673DFE" w:rsidRPr="00262D52" w:rsidRDefault="00673DFE" w:rsidP="00262D52">
            <w:pPr>
              <w:pStyle w:val="Table"/>
              <w:tabs>
                <w:tab w:val="decimal" w:pos="720"/>
              </w:tabs>
            </w:pPr>
            <w:r w:rsidRPr="00262D52">
              <w:t>7.6</w:t>
            </w:r>
          </w:p>
        </w:tc>
      </w:tr>
    </w:tbl>
    <w:p w14:paraId="3BAEAD2D" w14:textId="77777777" w:rsidR="00673DFE" w:rsidRDefault="00673DFE" w:rsidP="00A5429F">
      <w:pPr>
        <w:pStyle w:val="TableLastNote"/>
      </w:pPr>
    </w:p>
    <w:p w14:paraId="16E31964" w14:textId="77777777" w:rsidR="009738EB" w:rsidRDefault="009738EB" w:rsidP="009738EB">
      <w:pPr>
        <w:pStyle w:val="Text"/>
      </w:pPr>
      <w:r>
        <w:t xml:space="preserve">My scenario analysis tools and compilations of public data can be accessed through </w:t>
      </w:r>
      <w:hyperlink r:id="rId17" w:history="1">
        <w:r w:rsidRPr="00DD3B02">
          <w:rPr>
            <w:rStyle w:val="Hyperlink"/>
            <w:b/>
          </w:rPr>
          <w:t>http://dcmf.co.uk/models/dcp123.html</w:t>
        </w:r>
      </w:hyperlink>
      <w:r>
        <w:t>.</w:t>
      </w:r>
    </w:p>
    <w:p w14:paraId="3061985A" w14:textId="38C68BF5" w:rsidR="000B02C5" w:rsidRDefault="000B02C5" w:rsidP="000B02C5">
      <w:pPr>
        <w:pStyle w:val="Text"/>
      </w:pPr>
      <w:r>
        <w:t xml:space="preserve">The figures in the table above are my own estimates, based on data and models published by DNOs.  There might be small differences in the data or assumptions with industry consultation documents in cases where I have not used exactly the same </w:t>
      </w:r>
      <w:r w:rsidR="009738EB">
        <w:t>assumptions</w:t>
      </w:r>
      <w:r>
        <w:t>.  There is also a risk that I have made an error — do not hesitate to contact me if anything looks strange</w:t>
      </w:r>
      <w:r w:rsidR="009738EB">
        <w:t xml:space="preserve"> or if you would like any help with understanding these data, or the impact on your business</w:t>
      </w:r>
      <w:r>
        <w:t>.</w:t>
      </w:r>
    </w:p>
    <w:p w14:paraId="3B9D0A42" w14:textId="4A457852" w:rsidR="005F4B16" w:rsidRDefault="005423EE" w:rsidP="00462C3E">
      <w:pPr>
        <w:pStyle w:val="Heading2"/>
        <w:pageBreakBefore/>
      </w:pPr>
      <w:r>
        <w:lastRenderedPageBreak/>
        <w:t>Appendix B</w:t>
      </w:r>
      <w:r w:rsidR="00673DFE">
        <w:t xml:space="preserve"> </w:t>
      </w:r>
      <w:r w:rsidR="005F4B16">
        <w:t xml:space="preserve">— </w:t>
      </w:r>
      <w:r w:rsidR="00462C3E">
        <w:t>Critical review of the Working Group’s principles</w:t>
      </w:r>
    </w:p>
    <w:p w14:paraId="2C40D426" w14:textId="36E79DE1" w:rsidR="00462C3E" w:rsidRDefault="00462C3E" w:rsidP="003D3709">
      <w:pPr>
        <w:pStyle w:val="Text"/>
      </w:pPr>
      <w:r w:rsidRPr="00462C3E">
        <w:t xml:space="preserve">The Working Group says that it has adopted a principle to maintain the pre-scaled </w:t>
      </w:r>
      <w:r>
        <w:t xml:space="preserve">(i.e. cost-based) </w:t>
      </w:r>
      <w:r w:rsidRPr="00462C3E">
        <w:t>absolu</w:t>
      </w:r>
      <w:r>
        <w:t xml:space="preserve">te differential between tariffs in the final tariffs. </w:t>
      </w:r>
    </w:p>
    <w:p w14:paraId="64F8E3AB" w14:textId="24B85834" w:rsidR="00673DFE" w:rsidRDefault="00462C3E" w:rsidP="003D3709">
      <w:pPr>
        <w:pStyle w:val="Text"/>
      </w:pPr>
      <w:r>
        <w:t>This means, for example, that if the analysis of costs produces an average unit rate of 2 p/kWh for domestic customers and unit rates of 10 p/kWh, 1 p/kWh and 0.01 p/kWh for HV red, amber and green units respectively, and if reaching the DNO’s revenue target requires the domestic unit rate to be increased to 2.6 p/kWh, then the HV rates are 10.6 p/kWh, 1.6 p/kWh and 0.61 p/kWh.  Thus, in this example</w:t>
      </w:r>
      <w:r w:rsidR="00DB4CBC">
        <w:t xml:space="preserve"> (which is realistic)</w:t>
      </w:r>
      <w:r>
        <w:t xml:space="preserve">, the green charging rate is set to 61 times </w:t>
      </w:r>
      <w:proofErr w:type="gramStart"/>
      <w:r>
        <w:t>modelled</w:t>
      </w:r>
      <w:proofErr w:type="gramEnd"/>
      <w:r>
        <w:t xml:space="preserve"> costs</w:t>
      </w:r>
      <w:r w:rsidR="00DB4CBC">
        <w:t>.</w:t>
      </w:r>
    </w:p>
    <w:p w14:paraId="04EFDAEF" w14:textId="1B576A18" w:rsidR="00462C3E" w:rsidRDefault="00462C3E" w:rsidP="003D3709">
      <w:pPr>
        <w:pStyle w:val="Text"/>
      </w:pPr>
      <w:r>
        <w:t xml:space="preserve">The alternative, which the Working Group rejected, would </w:t>
      </w:r>
      <w:r w:rsidR="00DB4CBC">
        <w:t xml:space="preserve">have been </w:t>
      </w:r>
      <w:r>
        <w:t xml:space="preserve">to apply revenue matching </w:t>
      </w:r>
      <w:r w:rsidR="00DB4CBC">
        <w:t xml:space="preserve">as a simple </w:t>
      </w:r>
      <w:r w:rsidR="001D6D28">
        <w:t xml:space="preserve">uniform </w:t>
      </w:r>
      <w:r w:rsidR="00DB4CBC">
        <w:t>percentage mark-up</w:t>
      </w:r>
      <w:r>
        <w:t xml:space="preserve">.  In the example above, assuming that </w:t>
      </w:r>
      <w:r w:rsidR="001D6D28">
        <w:t xml:space="preserve">the domestic tariff still comes to </w:t>
      </w:r>
      <w:r>
        <w:t>2.5 p/kWh, then the HV rates would be 13 p/kWh, 1.3 p/kWh and 0.013 p/kWh, all 30 per cent above modelled costs.</w:t>
      </w:r>
    </w:p>
    <w:p w14:paraId="3D8DC97F" w14:textId="0B555E1F" w:rsidR="00462C3E" w:rsidRDefault="00462C3E" w:rsidP="003D3709">
      <w:pPr>
        <w:pStyle w:val="Text"/>
      </w:pPr>
      <w:r>
        <w:t>The Working Group has also adopted the idea of applying part of revenue matching to fixed and capacity charges.  Because only large business users pay for capacity, the effect is to increase further the proportion of the charges borne half hourly metered users c</w:t>
      </w:r>
      <w:r w:rsidR="00DB4CBC">
        <w:t xml:space="preserve">ompared to the current approach, where all revenue matching is applied to unit rates, which all customer categories pay for.  The Working Group’s solution also penalises half hourly metered users compared to a simple percentage mark-up, because the simple mark-up would apply in the same way to all network capacity costs whether they are charged through capacity charges (for half hourly metered users) or through fixed and unit rates (for non half hourly metered users).  </w:t>
      </w:r>
    </w:p>
    <w:p w14:paraId="6D96F2E9" w14:textId="6A32E205" w:rsidR="00462C3E" w:rsidRDefault="00462C3E" w:rsidP="00462C3E">
      <w:pPr>
        <w:pStyle w:val="Text"/>
      </w:pPr>
      <w:r>
        <w:t xml:space="preserve">The Working Group does not apply its own principles to LDNO tariffs.  These are calculated by applying </w:t>
      </w:r>
      <w:r w:rsidR="001D6D28">
        <w:t xml:space="preserve">the same </w:t>
      </w:r>
      <w:r>
        <w:t>discount to each</w:t>
      </w:r>
      <w:r w:rsidR="001D6D28">
        <w:t xml:space="preserve"> all-the-way tariff component</w:t>
      </w:r>
      <w:r>
        <w:t xml:space="preserve">.  </w:t>
      </w:r>
      <w:r w:rsidR="001D6D28">
        <w:t>Thus,</w:t>
      </w:r>
      <w:r>
        <w:t xml:space="preserve"> revenue matching </w:t>
      </w:r>
      <w:r w:rsidR="001D6D28">
        <w:t xml:space="preserve">generally </w:t>
      </w:r>
      <w:r>
        <w:t xml:space="preserve">increases the undue differential between </w:t>
      </w:r>
      <w:r w:rsidR="001D6D28">
        <w:t xml:space="preserve">a </w:t>
      </w:r>
      <w:r>
        <w:t xml:space="preserve">HV all-the-way tariff and </w:t>
      </w:r>
      <w:r w:rsidR="001D6D28">
        <w:t xml:space="preserve">a </w:t>
      </w:r>
      <w:r>
        <w:t xml:space="preserve">HV boundary LV end user tariff, even </w:t>
      </w:r>
      <w:r w:rsidR="001D6D28">
        <w:t xml:space="preserve">if </w:t>
      </w:r>
      <w:r>
        <w:t xml:space="preserve">these two tariffs relate to the same use of the DNO’s network. Whilst this </w:t>
      </w:r>
      <w:r w:rsidR="001D6D28">
        <w:t>might</w:t>
      </w:r>
      <w:r>
        <w:t xml:space="preserve"> not </w:t>
      </w:r>
      <w:r w:rsidR="001D6D28">
        <w:t xml:space="preserve">be </w:t>
      </w:r>
      <w:r>
        <w:t>anti-competitive (because it favours LDNOs by inflating their margins), it might lead to excessive all-the-way charges and/or to undue discrimination against private network operators.</w:t>
      </w:r>
    </w:p>
    <w:p w14:paraId="051E7D47" w14:textId="356BC681" w:rsidR="001D6D28" w:rsidRDefault="001D6D28" w:rsidP="001D6D28">
      <w:pPr>
        <w:pStyle w:val="Text"/>
      </w:pPr>
      <w:r w:rsidRPr="001D6D28">
        <w:t xml:space="preserve">The logic of the Working Group’s principle is that the only customer choices that should not be distorted are between consumption at different times or at different voltage levels within the same DNO area.  The Working Group’s principle </w:t>
      </w:r>
      <w:r>
        <w:t>makes no attempt at controlling how</w:t>
      </w:r>
      <w:r w:rsidRPr="001D6D28">
        <w:t xml:space="preserve"> revenue matching distort</w:t>
      </w:r>
      <w:r>
        <w:t>s</w:t>
      </w:r>
      <w:r w:rsidRPr="001D6D28">
        <w:t xml:space="preserve"> </w:t>
      </w:r>
      <w:r>
        <w:t xml:space="preserve">other </w:t>
      </w:r>
      <w:r w:rsidRPr="001D6D28">
        <w:t>choices</w:t>
      </w:r>
      <w:r>
        <w:t>, such as:</w:t>
      </w:r>
    </w:p>
    <w:p w14:paraId="0F3D145D" w14:textId="301EC093" w:rsidR="001D6D28" w:rsidRDefault="001D6D28" w:rsidP="001D6D28">
      <w:pPr>
        <w:pStyle w:val="ListBullet"/>
      </w:pPr>
      <w:proofErr w:type="gramStart"/>
      <w:r w:rsidRPr="001D6D28">
        <w:t>between</w:t>
      </w:r>
      <w:proofErr w:type="gramEnd"/>
      <w:r w:rsidRPr="001D6D28">
        <w:t xml:space="preserve"> consuming in </w:t>
      </w:r>
      <w:r>
        <w:t>different DNO areas; or</w:t>
      </w:r>
    </w:p>
    <w:p w14:paraId="4FF8CAE0" w14:textId="74A3BBEE" w:rsidR="001D6D28" w:rsidRDefault="001D6D28" w:rsidP="001D6D28">
      <w:pPr>
        <w:pStyle w:val="ListBullet"/>
      </w:pPr>
      <w:proofErr w:type="gramStart"/>
      <w:r w:rsidRPr="001D6D28">
        <w:t>between</w:t>
      </w:r>
      <w:proofErr w:type="gramEnd"/>
      <w:r w:rsidRPr="001D6D28">
        <w:t xml:space="preserve"> consuming electricity (e.g. to recharge a fleet of electric vehicles) and not consuming electricity (e.g. by opting for diesel vehicles</w:t>
      </w:r>
      <w:r>
        <w:t>); or</w:t>
      </w:r>
    </w:p>
    <w:p w14:paraId="0AA442A8" w14:textId="486D7E9D" w:rsidR="001D6D28" w:rsidRDefault="001D6D28" w:rsidP="001D6D28">
      <w:pPr>
        <w:pStyle w:val="ListBullet"/>
      </w:pPr>
      <w:proofErr w:type="gramStart"/>
      <w:r w:rsidRPr="001D6D28">
        <w:t>between</w:t>
      </w:r>
      <w:proofErr w:type="gramEnd"/>
      <w:r w:rsidRPr="001D6D28">
        <w:t xml:space="preserve"> an all-the-way supply a</w:t>
      </w:r>
      <w:r>
        <w:t>nd a supply involving a LDNO.</w:t>
      </w:r>
    </w:p>
    <w:p w14:paraId="741E7DC0" w14:textId="6B1F3C4E" w:rsidR="00CC629D" w:rsidRPr="00462C3E" w:rsidRDefault="001D6D28" w:rsidP="00462C3E">
      <w:pPr>
        <w:pStyle w:val="Text"/>
      </w:pPr>
      <w:r>
        <w:t xml:space="preserve">I think that this focus is </w:t>
      </w:r>
      <w:r w:rsidR="002B65B0">
        <w:t>wrong</w:t>
      </w:r>
      <w:r>
        <w:t xml:space="preserve"> and has led the </w:t>
      </w:r>
      <w:r w:rsidRPr="001D6D28">
        <w:t xml:space="preserve">Working Group </w:t>
      </w:r>
      <w:r>
        <w:t xml:space="preserve">to adopt an inappropriate principle. </w:t>
      </w:r>
      <w:r w:rsidR="00CC629D">
        <w:t>I have criticised the</w:t>
      </w:r>
      <w:r>
        <w:t xml:space="preserve"> principle and the</w:t>
      </w:r>
      <w:r w:rsidR="00CC629D">
        <w:t xml:space="preserve"> DCP 123 solution in my response to a previous industry consultation, which is published on </w:t>
      </w:r>
      <w:r w:rsidR="00CC629D" w:rsidRPr="001D6D28">
        <w:rPr>
          <w:b/>
        </w:rPr>
        <w:t>http://dcmf.co.uk/publications/</w:t>
      </w:r>
      <w:r w:rsidR="00CC629D">
        <w:t>.</w:t>
      </w:r>
    </w:p>
    <w:sectPr w:rsidR="00CC629D" w:rsidRPr="00462C3E" w:rsidSect="00A5429F">
      <w:headerReference w:type="even" r:id="rId18"/>
      <w:headerReference w:type="default" r:id="rId19"/>
      <w:footerReference w:type="even" r:id="rId20"/>
      <w:footerReference w:type="default" r:id="rId21"/>
      <w:headerReference w:type="first" r:id="rId22"/>
      <w:footerReference w:type="first" r:id="rId23"/>
      <w:pgSz w:w="11900" w:h="16840"/>
      <w:pgMar w:top="1440" w:right="1440" w:bottom="1440" w:left="1440" w:header="835" w:footer="835"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2914BF" w14:textId="77777777" w:rsidR="00DB4CBC" w:rsidRDefault="00DB4CBC" w:rsidP="00932267">
      <w:pPr>
        <w:spacing w:after="0"/>
      </w:pPr>
      <w:r>
        <w:separator/>
      </w:r>
    </w:p>
  </w:endnote>
  <w:endnote w:type="continuationSeparator" w:id="0">
    <w:p w14:paraId="0ED3E642" w14:textId="77777777" w:rsidR="00DB4CBC" w:rsidRDefault="00DB4CBC" w:rsidP="009322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MS Mincho">
    <w:altName w:val="‚l‚r –_’©"/>
    <w:panose1 w:val="00000000000000000000"/>
    <w:charset w:val="80"/>
    <w:family w:val="roma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MS Gothic">
    <w:altName w:val="ÇlÇr ÉSÉVÉbÉN"/>
    <w:panose1 w:val="00000000000000000000"/>
    <w:charset w:val="80"/>
    <w:family w:val="modern"/>
    <w:notTrueType/>
    <w:pitch w:val="fixed"/>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9A275" w14:textId="77777777" w:rsidR="00DB4CBC" w:rsidRDefault="00DB4CB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9042A" w14:textId="5CCB98AC" w:rsidR="00DB4CBC" w:rsidRDefault="00DB4CBC">
    <w:pPr>
      <w:pStyle w:val="Footer"/>
    </w:pPr>
    <w:proofErr w:type="gramStart"/>
    <w:r>
      <w:t>dcmf.co.uk</w:t>
    </w:r>
    <w:proofErr w:type="gramEnd"/>
    <w:r>
      <w:t>/alerts</w:t>
    </w:r>
    <w:r w:rsidRPr="008021FC">
      <w:tab/>
    </w:r>
    <w:r>
      <w:fldChar w:fldCharType="begin"/>
    </w:r>
    <w:r>
      <w:instrText xml:space="preserve"> PAGE  \* MERGEFORMAT </w:instrText>
    </w:r>
    <w:r>
      <w:fldChar w:fldCharType="separate"/>
    </w:r>
    <w:r w:rsidR="00EF17BD">
      <w:rPr>
        <w:noProof/>
      </w:rPr>
      <w:t>4</w:t>
    </w:r>
    <w: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51E00" w14:textId="77777777" w:rsidR="00DB4CBC" w:rsidRDefault="00DB4CB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D9320" w14:textId="77777777" w:rsidR="00DB4CBC" w:rsidRDefault="00DB4CBC" w:rsidP="00932267">
      <w:pPr>
        <w:spacing w:after="0"/>
      </w:pPr>
      <w:r>
        <w:separator/>
      </w:r>
    </w:p>
  </w:footnote>
  <w:footnote w:type="continuationSeparator" w:id="0">
    <w:p w14:paraId="616A2B4F" w14:textId="77777777" w:rsidR="00DB4CBC" w:rsidRDefault="00DB4CBC" w:rsidP="00932267">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CC625" w14:textId="77777777" w:rsidR="00DB4CBC" w:rsidRDefault="00DB4CB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F9320" w14:textId="77777777" w:rsidR="00DB4CBC" w:rsidRDefault="00DB4CB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F0073" w14:textId="77777777" w:rsidR="00DB4CBC" w:rsidRDefault="00DB4CB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C4258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3"/>
    <w:multiLevelType w:val="singleLevel"/>
    <w:tmpl w:val="A3BE4C6C"/>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B21A3854"/>
    <w:lvl w:ilvl="0">
      <w:start w:val="1"/>
      <w:numFmt w:val="bullet"/>
      <w:lvlText w:val=""/>
      <w:lvlJc w:val="left"/>
      <w:pPr>
        <w:tabs>
          <w:tab w:val="num" w:pos="360"/>
        </w:tabs>
        <w:ind w:left="360" w:hanging="360"/>
      </w:pPr>
      <w:rPr>
        <w:rFonts w:ascii="Symbol" w:hAnsi="Symbol" w:hint="default"/>
      </w:rPr>
    </w:lvl>
  </w:abstractNum>
  <w:abstractNum w:abstractNumId="3">
    <w:nsid w:val="1FB87DBC"/>
    <w:multiLevelType w:val="multilevel"/>
    <w:tmpl w:val="D7F8D2B4"/>
    <w:lvl w:ilvl="0">
      <w:start w:val="1"/>
      <w:numFmt w:val="none"/>
      <w:pStyle w:val="Masthead"/>
      <w:suff w:val="nothing"/>
      <w:lvlText w:val=""/>
      <w:lvlJc w:val="left"/>
      <w:rPr>
        <w:rFonts w:hint="default"/>
      </w:rPr>
    </w:lvl>
    <w:lvl w:ilvl="1">
      <w:start w:val="1"/>
      <w:numFmt w:val="decimal"/>
      <w:lvlRestart w:val="0"/>
      <w:pStyle w:val="Text"/>
      <w:lvlText w:val="%2."/>
      <w:lvlJc w:val="left"/>
      <w:pPr>
        <w:tabs>
          <w:tab w:val="num" w:pos="720"/>
        </w:tabs>
        <w:ind w:left="720" w:hanging="720"/>
      </w:pPr>
      <w:rPr>
        <w:rFonts w:hint="default"/>
      </w:rPr>
    </w:lvl>
    <w:lvl w:ilvl="2">
      <w:start w:val="1"/>
      <w:numFmt w:val="lowerLetter"/>
      <w:pStyle w:val="ListBullet"/>
      <w:lvlText w:val="(%3)"/>
      <w:lvlJc w:val="left"/>
      <w:pPr>
        <w:tabs>
          <w:tab w:val="num" w:pos="1195"/>
        </w:tabs>
        <w:ind w:left="1195" w:hanging="475"/>
      </w:pPr>
      <w:rPr>
        <w:rFonts w:hint="default"/>
      </w:rPr>
    </w:lvl>
    <w:lvl w:ilvl="3">
      <w:start w:val="1"/>
      <w:numFmt w:val="lowerRoman"/>
      <w:pStyle w:val="ListBullet2"/>
      <w:lvlText w:val="(%4)"/>
      <w:lvlJc w:val="left"/>
      <w:pPr>
        <w:tabs>
          <w:tab w:val="num" w:pos="1685"/>
        </w:tabs>
        <w:ind w:left="1685" w:hanging="490"/>
      </w:pPr>
      <w:rPr>
        <w:rFonts w:hint="default"/>
        <w:color w:val="auto"/>
        <w:sz w:val="24"/>
      </w:rPr>
    </w:lvl>
    <w:lvl w:ilvl="4">
      <w:start w:val="1"/>
      <w:numFmt w:val="bullet"/>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4">
    <w:nsid w:val="7F5B2626"/>
    <w:multiLevelType w:val="multilevel"/>
    <w:tmpl w:val="31B07D0A"/>
    <w:lvl w:ilvl="0">
      <w:start w:val="1"/>
      <w:numFmt w:val="decimal"/>
      <w:lvlText w:val="%1"/>
      <w:lvlJc w:val="left"/>
      <w:pPr>
        <w:tabs>
          <w:tab w:val="num" w:pos="432"/>
        </w:tabs>
        <w:ind w:left="432" w:hanging="432"/>
      </w:pPr>
      <w:rPr>
        <w:rFonts w:cs="Times New Roman"/>
        <w:b/>
        <w:sz w:val="22"/>
        <w:szCs w:val="22"/>
      </w:rPr>
    </w:lvl>
    <w:lvl w:ilvl="1">
      <w:start w:val="1"/>
      <w:numFmt w:val="bullet"/>
      <w:lvlText w:val=""/>
      <w:lvlJc w:val="left"/>
      <w:pPr>
        <w:tabs>
          <w:tab w:val="num" w:pos="860"/>
        </w:tabs>
        <w:ind w:left="860" w:hanging="576"/>
      </w:pPr>
      <w:rPr>
        <w:rFonts w:hAnsi="Symbol" w:hint="default"/>
        <w:b w:val="0"/>
        <w:i w:val="0"/>
        <w:smallCaps w:val="0"/>
        <w:strike w:val="0"/>
        <w:color w:val="00000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2"/>
  </w:num>
  <w:num w:numId="2">
    <w:abstractNumId w:val="1"/>
  </w:num>
  <w:num w:numId="3">
    <w:abstractNumId w:val="3"/>
  </w:num>
  <w:num w:numId="4">
    <w:abstractNumId w:val="2"/>
  </w:num>
  <w:num w:numId="5">
    <w:abstractNumId w:val="3"/>
  </w:num>
  <w:num w:numId="6">
    <w:abstractNumId w:val="1"/>
  </w:num>
  <w:num w:numId="7">
    <w:abstractNumId w:val="3"/>
  </w:num>
  <w:num w:numId="8">
    <w:abstractNumId w:val="3"/>
  </w:num>
  <w:num w:numId="9">
    <w:abstractNumId w:val="3"/>
  </w:num>
  <w:num w:numId="10">
    <w:abstractNumId w:val="3"/>
  </w:num>
  <w:num w:numId="11">
    <w:abstractNumId w:val="3"/>
  </w:num>
  <w:num w:numId="12">
    <w:abstractNumId w:val="3"/>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B47E33"/>
    <w:rsid w:val="00027422"/>
    <w:rsid w:val="000669E4"/>
    <w:rsid w:val="000B02C5"/>
    <w:rsid w:val="000E0E10"/>
    <w:rsid w:val="00103AFF"/>
    <w:rsid w:val="00123576"/>
    <w:rsid w:val="001379BE"/>
    <w:rsid w:val="00137EB9"/>
    <w:rsid w:val="001653E9"/>
    <w:rsid w:val="001A29EF"/>
    <w:rsid w:val="001A76F5"/>
    <w:rsid w:val="001C4608"/>
    <w:rsid w:val="001D6D28"/>
    <w:rsid w:val="001F7B77"/>
    <w:rsid w:val="00262D52"/>
    <w:rsid w:val="002B65B0"/>
    <w:rsid w:val="002F4923"/>
    <w:rsid w:val="003364C6"/>
    <w:rsid w:val="00355C86"/>
    <w:rsid w:val="00393C0B"/>
    <w:rsid w:val="003D055C"/>
    <w:rsid w:val="003D3709"/>
    <w:rsid w:val="004147B7"/>
    <w:rsid w:val="00462C3E"/>
    <w:rsid w:val="004661C2"/>
    <w:rsid w:val="004C16B4"/>
    <w:rsid w:val="004D3891"/>
    <w:rsid w:val="004E6A88"/>
    <w:rsid w:val="005423EE"/>
    <w:rsid w:val="00563FA8"/>
    <w:rsid w:val="00586712"/>
    <w:rsid w:val="005F375E"/>
    <w:rsid w:val="005F4B16"/>
    <w:rsid w:val="00616E88"/>
    <w:rsid w:val="00631F58"/>
    <w:rsid w:val="00645813"/>
    <w:rsid w:val="00654360"/>
    <w:rsid w:val="00671F50"/>
    <w:rsid w:val="00673DFE"/>
    <w:rsid w:val="0067426E"/>
    <w:rsid w:val="00677898"/>
    <w:rsid w:val="00687E15"/>
    <w:rsid w:val="00692D3E"/>
    <w:rsid w:val="006A4E0E"/>
    <w:rsid w:val="006A6DC4"/>
    <w:rsid w:val="006C6CAD"/>
    <w:rsid w:val="006C74D5"/>
    <w:rsid w:val="00782312"/>
    <w:rsid w:val="007A1C31"/>
    <w:rsid w:val="007A58EC"/>
    <w:rsid w:val="007B4632"/>
    <w:rsid w:val="00800938"/>
    <w:rsid w:val="008137C8"/>
    <w:rsid w:val="00830F73"/>
    <w:rsid w:val="008620BE"/>
    <w:rsid w:val="00887D4D"/>
    <w:rsid w:val="008A05A5"/>
    <w:rsid w:val="008A4F7C"/>
    <w:rsid w:val="008C0EF0"/>
    <w:rsid w:val="00930C22"/>
    <w:rsid w:val="00932267"/>
    <w:rsid w:val="0095680E"/>
    <w:rsid w:val="00961F54"/>
    <w:rsid w:val="009738EB"/>
    <w:rsid w:val="00975266"/>
    <w:rsid w:val="00992466"/>
    <w:rsid w:val="009D4536"/>
    <w:rsid w:val="009F1DB7"/>
    <w:rsid w:val="009F501E"/>
    <w:rsid w:val="009F50F0"/>
    <w:rsid w:val="009F6360"/>
    <w:rsid w:val="009F7DD0"/>
    <w:rsid w:val="00A045BC"/>
    <w:rsid w:val="00A05CB4"/>
    <w:rsid w:val="00A5429F"/>
    <w:rsid w:val="00A65744"/>
    <w:rsid w:val="00A9425C"/>
    <w:rsid w:val="00AD478C"/>
    <w:rsid w:val="00AD5EE9"/>
    <w:rsid w:val="00B0663C"/>
    <w:rsid w:val="00B06763"/>
    <w:rsid w:val="00B31B53"/>
    <w:rsid w:val="00B37C43"/>
    <w:rsid w:val="00B47E33"/>
    <w:rsid w:val="00B572C0"/>
    <w:rsid w:val="00B80214"/>
    <w:rsid w:val="00C11E19"/>
    <w:rsid w:val="00C23E0B"/>
    <w:rsid w:val="00C273EE"/>
    <w:rsid w:val="00CC629D"/>
    <w:rsid w:val="00CD59B8"/>
    <w:rsid w:val="00D1009D"/>
    <w:rsid w:val="00D62425"/>
    <w:rsid w:val="00D67CA8"/>
    <w:rsid w:val="00D844C1"/>
    <w:rsid w:val="00D944ED"/>
    <w:rsid w:val="00DB4CBC"/>
    <w:rsid w:val="00DD3A99"/>
    <w:rsid w:val="00DE03CF"/>
    <w:rsid w:val="00E10DA0"/>
    <w:rsid w:val="00E16B53"/>
    <w:rsid w:val="00E44788"/>
    <w:rsid w:val="00E44E53"/>
    <w:rsid w:val="00E479CF"/>
    <w:rsid w:val="00E70261"/>
    <w:rsid w:val="00E871CE"/>
    <w:rsid w:val="00E9361D"/>
    <w:rsid w:val="00EB1123"/>
    <w:rsid w:val="00ED53D0"/>
    <w:rsid w:val="00EF17BD"/>
    <w:rsid w:val="00F377F2"/>
    <w:rsid w:val="00F75AF7"/>
    <w:rsid w:val="00F90161"/>
    <w:rsid w:val="00FB3676"/>
    <w:rsid w:val="00FD3EA9"/>
    <w:rsid w:val="00FF3BC3"/>
    <w:rsid w:val="00FF7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47ADA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kern w:val="14"/>
      <w:sz w:val="24"/>
      <w:lang w:val="en-GB" w:bidi="en-US"/>
    </w:rPr>
  </w:style>
  <w:style w:type="paragraph" w:styleId="Heading1">
    <w:name w:val="heading 1"/>
    <w:basedOn w:val="Normal"/>
    <w:next w:val="Text"/>
    <w:qFormat/>
    <w:pPr>
      <w:keepNext/>
      <w:numPr>
        <w:numId w:val="10"/>
      </w:numPr>
      <w:spacing w:after="180"/>
      <w:jc w:val="left"/>
      <w:outlineLvl w:val="0"/>
    </w:pPr>
    <w:rPr>
      <w:rFonts w:ascii="Arial Black" w:hAnsi="Arial Black"/>
      <w:color w:val="333333"/>
      <w:kern w:val="0"/>
      <w:sz w:val="28"/>
      <w:lang w:eastAsia="ja-JP"/>
    </w:rPr>
  </w:style>
  <w:style w:type="paragraph" w:styleId="Heading2">
    <w:name w:val="heading 2"/>
    <w:basedOn w:val="Normal"/>
    <w:next w:val="Text"/>
    <w:link w:val="Heading2Char"/>
    <w:qFormat/>
    <w:rsid w:val="00355C86"/>
    <w:pPr>
      <w:keepNext/>
      <w:jc w:val="left"/>
      <w:outlineLvl w:val="1"/>
    </w:pPr>
    <w:rPr>
      <w:rFonts w:ascii="Arial" w:hAnsi="Arial"/>
      <w:b/>
      <w:color w:val="333333"/>
      <w:kern w:val="0"/>
      <w:sz w:val="22"/>
    </w:rPr>
  </w:style>
  <w:style w:type="paragraph" w:styleId="Heading3">
    <w:name w:val="heading 3"/>
    <w:basedOn w:val="Normal"/>
    <w:next w:val="Text"/>
    <w:qFormat/>
    <w:rsid w:val="00F51716"/>
    <w:pPr>
      <w:keepNext/>
      <w:jc w:val="left"/>
      <w:outlineLvl w:val="2"/>
    </w:pPr>
    <w:rPr>
      <w:rFonts w:cs="Arial"/>
      <w:b/>
      <w:color w:val="333333"/>
      <w:kern w:val="0"/>
      <w:sz w:val="22"/>
      <w:szCs w:val="18"/>
    </w:rPr>
  </w:style>
  <w:style w:type="paragraph" w:styleId="Heading4">
    <w:name w:val="heading 4"/>
    <w:basedOn w:val="Normal"/>
    <w:next w:val="Normal"/>
    <w:qFormat/>
    <w:pPr>
      <w:keepNext/>
      <w:jc w:val="left"/>
      <w:outlineLvl w:val="3"/>
    </w:pPr>
    <w:rPr>
      <w:i/>
      <w:shd w:val="clear" w:color="FFFFFF" w:fil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0"/>
      <w:jc w:val="left"/>
    </w:pPr>
  </w:style>
  <w:style w:type="paragraph" w:styleId="Caption">
    <w:name w:val="caption"/>
    <w:basedOn w:val="Normal"/>
    <w:next w:val="Table"/>
    <w:qFormat/>
    <w:pPr>
      <w:keepNext/>
      <w:keepLines/>
      <w:tabs>
        <w:tab w:val="left" w:pos="1080"/>
      </w:tabs>
      <w:ind w:left="1080" w:hanging="1080"/>
      <w:jc w:val="left"/>
      <w:outlineLvl w:val="4"/>
    </w:pPr>
    <w:rPr>
      <w:rFonts w:eastAsia="MS Mincho"/>
      <w:b/>
      <w:sz w:val="22"/>
    </w:rPr>
  </w:style>
  <w:style w:type="paragraph" w:customStyle="1" w:styleId="Code">
    <w:name w:val="Code"/>
    <w:basedOn w:val="BodyText"/>
    <w:rPr>
      <w:rFonts w:ascii="Courier" w:hAnsi="Courier"/>
      <w:sz w:val="16"/>
    </w:rPr>
  </w:style>
  <w:style w:type="paragraph" w:customStyle="1" w:styleId="DocumentControl">
    <w:name w:val="Document Control"/>
    <w:basedOn w:val="Normal"/>
    <w:pPr>
      <w:tabs>
        <w:tab w:val="left" w:pos="1786"/>
        <w:tab w:val="left" w:pos="9000"/>
      </w:tabs>
      <w:spacing w:after="0" w:line="240" w:lineRule="exact"/>
      <w:jc w:val="left"/>
    </w:pPr>
    <w:rPr>
      <w:rFonts w:ascii="Arial Black" w:hAnsi="Arial Black"/>
      <w:kern w:val="20"/>
      <w:sz w:val="20"/>
    </w:rPr>
  </w:style>
  <w:style w:type="paragraph" w:styleId="DocumentMap">
    <w:name w:val="Document Map"/>
    <w:basedOn w:val="Normal"/>
    <w:semiHidden/>
    <w:pPr>
      <w:shd w:val="clear" w:color="auto" w:fill="000080"/>
      <w:tabs>
        <w:tab w:val="num" w:pos="720"/>
      </w:tabs>
      <w:ind w:left="720" w:hanging="720"/>
    </w:pPr>
    <w:rPr>
      <w:rFonts w:ascii="Tahoma" w:eastAsia="MS Gothic" w:hAnsi="Tahoma"/>
      <w:sz w:val="18"/>
    </w:rPr>
  </w:style>
  <w:style w:type="paragraph" w:customStyle="1" w:styleId="DraftingNote">
    <w:name w:val="Drafting Note"/>
    <w:basedOn w:val="Normal"/>
    <w:rPr>
      <w:i/>
      <w:color w:val="FF0000"/>
      <w:shd w:val="clear" w:color="FFFFFF" w:fill="FFFF99"/>
    </w:rPr>
  </w:style>
  <w:style w:type="character" w:customStyle="1" w:styleId="DraftingNoteChar">
    <w:name w:val="Drafting Note Char"/>
    <w:basedOn w:val="DefaultParagraphFont"/>
    <w:rPr>
      <w:rFonts w:cs="Times New Roman"/>
      <w:i/>
      <w:color w:val="FF0000"/>
      <w:kern w:val="14"/>
      <w:sz w:val="24"/>
      <w:shd w:val="clear" w:color="FFFFFF" w:fill="FFFF99"/>
      <w:lang w:val="en-GB" w:eastAsia="en-US"/>
    </w:rPr>
  </w:style>
  <w:style w:type="paragraph" w:customStyle="1" w:styleId="Equation">
    <w:name w:val="Equation"/>
    <w:basedOn w:val="BodyText"/>
    <w:pPr>
      <w:tabs>
        <w:tab w:val="right" w:pos="8640"/>
      </w:tabs>
      <w:spacing w:after="240"/>
      <w:ind w:left="1080"/>
    </w:pPr>
  </w:style>
  <w:style w:type="paragraph" w:customStyle="1" w:styleId="Eqwhere">
    <w:name w:val="Eqwhere"/>
    <w:basedOn w:val="BodyText"/>
    <w:pPr>
      <w:spacing w:after="240"/>
      <w:ind w:left="720"/>
    </w:pPr>
  </w:style>
  <w:style w:type="character" w:styleId="FollowedHyperlink">
    <w:name w:val="FollowedHyperlink"/>
    <w:basedOn w:val="DefaultParagraphFont"/>
    <w:rPr>
      <w:rFonts w:cs="Times New Roman"/>
      <w:color w:val="auto"/>
      <w:u w:val="none"/>
    </w:rPr>
  </w:style>
  <w:style w:type="paragraph" w:styleId="Header">
    <w:name w:val="header"/>
    <w:basedOn w:val="Normal"/>
    <w:pPr>
      <w:tabs>
        <w:tab w:val="right" w:pos="9000"/>
      </w:tabs>
      <w:spacing w:after="0" w:line="240" w:lineRule="exact"/>
      <w:jc w:val="left"/>
    </w:pPr>
    <w:rPr>
      <w:rFonts w:ascii="Arial" w:hAnsi="Arial"/>
      <w:color w:val="0066CC"/>
      <w:kern w:val="18"/>
      <w:sz w:val="18"/>
    </w:rPr>
  </w:style>
  <w:style w:type="paragraph" w:styleId="Footer">
    <w:name w:val="footer"/>
    <w:basedOn w:val="Header"/>
    <w:semiHidden/>
  </w:style>
  <w:style w:type="character" w:styleId="FootnoteReference">
    <w:name w:val="footnote reference"/>
    <w:basedOn w:val="DefaultParagraphFont"/>
    <w:semiHidden/>
    <w:rPr>
      <w:rFonts w:cs="Times New Roman"/>
      <w:vertAlign w:val="superscript"/>
    </w:rPr>
  </w:style>
  <w:style w:type="paragraph" w:styleId="FootnoteText">
    <w:name w:val="footnote text"/>
    <w:basedOn w:val="Normal"/>
    <w:semiHidden/>
    <w:pPr>
      <w:tabs>
        <w:tab w:val="left" w:pos="180"/>
      </w:tabs>
      <w:spacing w:after="0"/>
      <w:ind w:left="180" w:hanging="180"/>
      <w:jc w:val="left"/>
    </w:pPr>
    <w:rPr>
      <w:sz w:val="18"/>
    </w:rPr>
  </w:style>
  <w:style w:type="paragraph" w:customStyle="1" w:styleId="Hidden">
    <w:name w:val="Hidden"/>
    <w:basedOn w:val="DocumentControl"/>
    <w:rPr>
      <w:vanish/>
      <w:color w:val="FF6633"/>
    </w:rPr>
  </w:style>
  <w:style w:type="character" w:styleId="Hyperlink">
    <w:name w:val="Hyperlink"/>
    <w:basedOn w:val="DefaultParagraphFont"/>
    <w:rPr>
      <w:rFonts w:cs="Times New Roman"/>
      <w:color w:val="auto"/>
    </w:rPr>
  </w:style>
  <w:style w:type="paragraph" w:styleId="ListBullet">
    <w:name w:val="List Bullet"/>
    <w:basedOn w:val="Normal"/>
    <w:pPr>
      <w:numPr>
        <w:ilvl w:val="2"/>
        <w:numId w:val="10"/>
      </w:numPr>
    </w:pPr>
  </w:style>
  <w:style w:type="paragraph" w:styleId="ListBullet2">
    <w:name w:val="List Bullet 2"/>
    <w:basedOn w:val="Normal"/>
    <w:pPr>
      <w:numPr>
        <w:ilvl w:val="3"/>
        <w:numId w:val="10"/>
      </w:numPr>
    </w:pPr>
  </w:style>
  <w:style w:type="paragraph" w:styleId="PlainText">
    <w:name w:val="Plain Text"/>
    <w:basedOn w:val="Normal"/>
    <w:rPr>
      <w:rFonts w:ascii="Courier" w:hAnsi="Courier"/>
      <w:szCs w:val="24"/>
    </w:rPr>
  </w:style>
  <w:style w:type="paragraph" w:customStyle="1" w:styleId="Quotation">
    <w:name w:val="Quotation"/>
    <w:basedOn w:val="BodyText"/>
    <w:pPr>
      <w:spacing w:after="240"/>
      <w:ind w:left="1080" w:right="360"/>
      <w:jc w:val="both"/>
    </w:pPr>
    <w:rPr>
      <w:spacing w:val="-4"/>
      <w:kern w:val="20"/>
    </w:rPr>
  </w:style>
  <w:style w:type="paragraph" w:customStyle="1" w:styleId="Table">
    <w:name w:val="Table"/>
    <w:basedOn w:val="Normal"/>
    <w:rsid w:val="00ED53D0"/>
    <w:pPr>
      <w:tabs>
        <w:tab w:val="num" w:pos="720"/>
      </w:tabs>
      <w:spacing w:before="60" w:after="60"/>
      <w:jc w:val="left"/>
    </w:pPr>
    <w:rPr>
      <w:sz w:val="22"/>
    </w:rPr>
  </w:style>
  <w:style w:type="table" w:styleId="TableGrid">
    <w:name w:val="Table Grid"/>
    <w:basedOn w:val="TableNormal"/>
    <w:pPr>
      <w:spacing w:after="240"/>
      <w:jc w:val="both"/>
    </w:pPr>
    <w:rPr>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LastNote">
    <w:name w:val="Table Last Note"/>
    <w:basedOn w:val="Normal"/>
    <w:pPr>
      <w:keepLines/>
      <w:tabs>
        <w:tab w:val="num" w:pos="0"/>
      </w:tabs>
      <w:spacing w:before="40"/>
    </w:pPr>
    <w:rPr>
      <w:rFonts w:cs="Arial"/>
      <w:sz w:val="18"/>
      <w:szCs w:val="24"/>
    </w:rPr>
  </w:style>
  <w:style w:type="paragraph" w:customStyle="1" w:styleId="TableNotes">
    <w:name w:val="Table Notes"/>
    <w:basedOn w:val="Normal"/>
    <w:pPr>
      <w:keepNext/>
      <w:keepLines/>
      <w:tabs>
        <w:tab w:val="num" w:pos="720"/>
      </w:tabs>
      <w:spacing w:before="40" w:after="40"/>
    </w:pPr>
    <w:rPr>
      <w:i/>
      <w:sz w:val="18"/>
    </w:rPr>
  </w:style>
  <w:style w:type="paragraph" w:customStyle="1" w:styleId="Text">
    <w:name w:val="Text"/>
    <w:basedOn w:val="Normal"/>
    <w:pPr>
      <w:numPr>
        <w:ilvl w:val="1"/>
        <w:numId w:val="10"/>
      </w:numPr>
    </w:pPr>
  </w:style>
  <w:style w:type="paragraph" w:styleId="TOC1">
    <w:name w:val="toc 1"/>
    <w:basedOn w:val="Normal"/>
    <w:next w:val="Normal"/>
    <w:autoRedefine/>
    <w:semiHidden/>
    <w:pPr>
      <w:keepNext/>
      <w:tabs>
        <w:tab w:val="left" w:pos="353"/>
        <w:tab w:val="right" w:leader="dot" w:pos="9000"/>
      </w:tabs>
      <w:spacing w:before="180" w:after="0"/>
      <w:ind w:left="360" w:right="374" w:hanging="360"/>
      <w:jc w:val="left"/>
    </w:pPr>
    <w:rPr>
      <w:rFonts w:ascii="Arial" w:hAnsi="Arial"/>
      <w:b/>
      <w:noProof/>
      <w:kern w:val="0"/>
      <w:sz w:val="22"/>
    </w:rPr>
  </w:style>
  <w:style w:type="paragraph" w:styleId="TOC2">
    <w:name w:val="toc 2"/>
    <w:basedOn w:val="Normal"/>
    <w:next w:val="Normal"/>
    <w:autoRedefine/>
    <w:semiHidden/>
    <w:pPr>
      <w:tabs>
        <w:tab w:val="right" w:leader="dot" w:pos="9000"/>
      </w:tabs>
      <w:spacing w:before="240" w:after="0"/>
      <w:ind w:right="360"/>
      <w:jc w:val="left"/>
    </w:pPr>
    <w:rPr>
      <w:b/>
      <w:noProof/>
      <w:kern w:val="0"/>
      <w:sz w:val="22"/>
    </w:rPr>
  </w:style>
  <w:style w:type="paragraph" w:styleId="TOC3">
    <w:name w:val="toc 3"/>
    <w:basedOn w:val="Normal"/>
    <w:next w:val="Normal"/>
    <w:autoRedefine/>
    <w:semiHidden/>
    <w:pPr>
      <w:tabs>
        <w:tab w:val="right" w:leader="dot" w:pos="9000"/>
      </w:tabs>
      <w:spacing w:after="0"/>
      <w:ind w:right="380"/>
    </w:pPr>
    <w:rPr>
      <w:noProof/>
      <w:sz w:val="18"/>
    </w:rPr>
  </w:style>
  <w:style w:type="paragraph" w:styleId="TOCHeading">
    <w:name w:val="TOC Heading"/>
    <w:basedOn w:val="TOC1"/>
    <w:qFormat/>
    <w:pPr>
      <w:ind w:right="0"/>
    </w:pPr>
  </w:style>
  <w:style w:type="paragraph" w:customStyle="1" w:styleId="Default">
    <w:name w:val="Default"/>
    <w:rsid w:val="008A3EC3"/>
    <w:pPr>
      <w:autoSpaceDE w:val="0"/>
      <w:autoSpaceDN w:val="0"/>
      <w:adjustRightInd w:val="0"/>
    </w:pPr>
    <w:rPr>
      <w:rFonts w:ascii="Verdana" w:hAnsi="Verdana" w:cs="Verdana"/>
      <w:color w:val="000000"/>
      <w:sz w:val="24"/>
      <w:szCs w:val="24"/>
      <w:lang w:bidi="en-US"/>
    </w:rPr>
  </w:style>
  <w:style w:type="paragraph" w:customStyle="1" w:styleId="TableCV">
    <w:name w:val="Table CV"/>
    <w:basedOn w:val="TableNotes"/>
    <w:rsid w:val="00123576"/>
    <w:pPr>
      <w:keepNext w:val="0"/>
      <w:spacing w:after="0"/>
    </w:pPr>
    <w:rPr>
      <w:i w:val="0"/>
      <w:sz w:val="24"/>
      <w:szCs w:val="24"/>
    </w:rPr>
  </w:style>
  <w:style w:type="paragraph" w:customStyle="1" w:styleId="TableCVStrong">
    <w:name w:val="Table CV Strong"/>
    <w:basedOn w:val="TableCV"/>
    <w:next w:val="TableCV"/>
    <w:rsid w:val="00123576"/>
    <w:pPr>
      <w:spacing w:before="240"/>
    </w:pPr>
    <w:rPr>
      <w:b/>
    </w:rPr>
  </w:style>
  <w:style w:type="paragraph" w:customStyle="1" w:styleId="TableCVTitle">
    <w:name w:val="Table CV Title"/>
    <w:basedOn w:val="TableCV"/>
    <w:rsid w:val="00123576"/>
    <w:pPr>
      <w:spacing w:before="0" w:after="200"/>
    </w:pPr>
    <w:rPr>
      <w:rFonts w:ascii="Arial Black" w:hAnsi="Arial Black"/>
      <w:sz w:val="28"/>
      <w:szCs w:val="28"/>
    </w:rPr>
  </w:style>
  <w:style w:type="paragraph" w:customStyle="1" w:styleId="tablenote">
    <w:name w:val="table note"/>
    <w:basedOn w:val="Text"/>
    <w:rsid w:val="00CD59B8"/>
  </w:style>
  <w:style w:type="paragraph" w:customStyle="1" w:styleId="Masthead">
    <w:name w:val="Masthead"/>
    <w:basedOn w:val="Normal"/>
    <w:rsid w:val="004D3891"/>
    <w:pPr>
      <w:numPr>
        <w:numId w:val="3"/>
      </w:numPr>
      <w:tabs>
        <w:tab w:val="right" w:pos="9000"/>
      </w:tabs>
      <w:outlineLvl w:val="3"/>
    </w:pPr>
    <w:rPr>
      <w:rFonts w:ascii="Arial" w:hAnsi="Arial"/>
      <w:b/>
      <w:sz w:val="20"/>
    </w:rPr>
  </w:style>
  <w:style w:type="character" w:customStyle="1" w:styleId="Heading2Char">
    <w:name w:val="Heading 2 Char"/>
    <w:basedOn w:val="DefaultParagraphFont"/>
    <w:link w:val="Heading2"/>
    <w:rsid w:val="002F4923"/>
    <w:rPr>
      <w:rFonts w:ascii="Arial" w:hAnsi="Arial"/>
      <w:b/>
      <w:color w:val="333333"/>
      <w:sz w:val="22"/>
      <w:lang w:val="en-GB"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kern w:val="14"/>
      <w:sz w:val="24"/>
      <w:lang w:val="en-GB" w:bidi="en-US"/>
    </w:rPr>
  </w:style>
  <w:style w:type="paragraph" w:styleId="Heading1">
    <w:name w:val="heading 1"/>
    <w:basedOn w:val="Normal"/>
    <w:next w:val="Text"/>
    <w:qFormat/>
    <w:pPr>
      <w:keepNext/>
      <w:numPr>
        <w:numId w:val="10"/>
      </w:numPr>
      <w:spacing w:after="180"/>
      <w:jc w:val="left"/>
      <w:outlineLvl w:val="0"/>
    </w:pPr>
    <w:rPr>
      <w:rFonts w:ascii="Arial Black" w:hAnsi="Arial Black"/>
      <w:color w:val="333333"/>
      <w:kern w:val="0"/>
      <w:sz w:val="28"/>
      <w:lang w:eastAsia="ja-JP"/>
    </w:rPr>
  </w:style>
  <w:style w:type="paragraph" w:styleId="Heading2">
    <w:name w:val="heading 2"/>
    <w:basedOn w:val="Normal"/>
    <w:next w:val="Text"/>
    <w:link w:val="Heading2Char"/>
    <w:qFormat/>
    <w:rsid w:val="00355C86"/>
    <w:pPr>
      <w:keepNext/>
      <w:jc w:val="left"/>
      <w:outlineLvl w:val="1"/>
    </w:pPr>
    <w:rPr>
      <w:rFonts w:ascii="Arial" w:hAnsi="Arial"/>
      <w:b/>
      <w:color w:val="333333"/>
      <w:kern w:val="0"/>
      <w:sz w:val="22"/>
    </w:rPr>
  </w:style>
  <w:style w:type="paragraph" w:styleId="Heading3">
    <w:name w:val="heading 3"/>
    <w:basedOn w:val="Normal"/>
    <w:next w:val="Text"/>
    <w:qFormat/>
    <w:rsid w:val="00F51716"/>
    <w:pPr>
      <w:keepNext/>
      <w:jc w:val="left"/>
      <w:outlineLvl w:val="2"/>
    </w:pPr>
    <w:rPr>
      <w:rFonts w:cs="Arial"/>
      <w:b/>
      <w:color w:val="333333"/>
      <w:kern w:val="0"/>
      <w:sz w:val="22"/>
      <w:szCs w:val="18"/>
    </w:rPr>
  </w:style>
  <w:style w:type="paragraph" w:styleId="Heading4">
    <w:name w:val="heading 4"/>
    <w:basedOn w:val="Normal"/>
    <w:next w:val="Normal"/>
    <w:qFormat/>
    <w:pPr>
      <w:keepNext/>
      <w:jc w:val="left"/>
      <w:outlineLvl w:val="3"/>
    </w:pPr>
    <w:rPr>
      <w:i/>
      <w:shd w:val="clear" w:color="FFFFFF" w:fil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0"/>
      <w:jc w:val="left"/>
    </w:pPr>
  </w:style>
  <w:style w:type="paragraph" w:styleId="Caption">
    <w:name w:val="caption"/>
    <w:basedOn w:val="Normal"/>
    <w:next w:val="Table"/>
    <w:qFormat/>
    <w:pPr>
      <w:keepNext/>
      <w:keepLines/>
      <w:tabs>
        <w:tab w:val="left" w:pos="1080"/>
      </w:tabs>
      <w:ind w:left="1080" w:hanging="1080"/>
      <w:jc w:val="left"/>
      <w:outlineLvl w:val="4"/>
    </w:pPr>
    <w:rPr>
      <w:rFonts w:eastAsia="MS Mincho"/>
      <w:b/>
      <w:sz w:val="22"/>
    </w:rPr>
  </w:style>
  <w:style w:type="paragraph" w:customStyle="1" w:styleId="Code">
    <w:name w:val="Code"/>
    <w:basedOn w:val="BodyText"/>
    <w:rPr>
      <w:rFonts w:ascii="Courier" w:hAnsi="Courier"/>
      <w:sz w:val="16"/>
    </w:rPr>
  </w:style>
  <w:style w:type="paragraph" w:customStyle="1" w:styleId="DocumentControl">
    <w:name w:val="Document Control"/>
    <w:basedOn w:val="Normal"/>
    <w:pPr>
      <w:tabs>
        <w:tab w:val="left" w:pos="1786"/>
        <w:tab w:val="left" w:pos="9000"/>
      </w:tabs>
      <w:spacing w:after="0" w:line="240" w:lineRule="exact"/>
      <w:jc w:val="left"/>
    </w:pPr>
    <w:rPr>
      <w:rFonts w:ascii="Arial Black" w:hAnsi="Arial Black"/>
      <w:kern w:val="20"/>
      <w:sz w:val="20"/>
    </w:rPr>
  </w:style>
  <w:style w:type="paragraph" w:styleId="DocumentMap">
    <w:name w:val="Document Map"/>
    <w:basedOn w:val="Normal"/>
    <w:semiHidden/>
    <w:pPr>
      <w:shd w:val="clear" w:color="auto" w:fill="000080"/>
      <w:tabs>
        <w:tab w:val="num" w:pos="720"/>
      </w:tabs>
      <w:ind w:left="720" w:hanging="720"/>
    </w:pPr>
    <w:rPr>
      <w:rFonts w:ascii="Tahoma" w:eastAsia="MS Gothic" w:hAnsi="Tahoma"/>
      <w:sz w:val="18"/>
    </w:rPr>
  </w:style>
  <w:style w:type="paragraph" w:customStyle="1" w:styleId="DraftingNote">
    <w:name w:val="Drafting Note"/>
    <w:basedOn w:val="Normal"/>
    <w:rPr>
      <w:i/>
      <w:color w:val="FF0000"/>
      <w:shd w:val="clear" w:color="FFFFFF" w:fill="FFFF99"/>
    </w:rPr>
  </w:style>
  <w:style w:type="character" w:customStyle="1" w:styleId="DraftingNoteChar">
    <w:name w:val="Drafting Note Char"/>
    <w:basedOn w:val="DefaultParagraphFont"/>
    <w:rPr>
      <w:rFonts w:cs="Times New Roman"/>
      <w:i/>
      <w:color w:val="FF0000"/>
      <w:kern w:val="14"/>
      <w:sz w:val="24"/>
      <w:shd w:val="clear" w:color="FFFFFF" w:fill="FFFF99"/>
      <w:lang w:val="en-GB" w:eastAsia="en-US"/>
    </w:rPr>
  </w:style>
  <w:style w:type="paragraph" w:customStyle="1" w:styleId="Equation">
    <w:name w:val="Equation"/>
    <w:basedOn w:val="BodyText"/>
    <w:pPr>
      <w:tabs>
        <w:tab w:val="right" w:pos="8640"/>
      </w:tabs>
      <w:spacing w:after="240"/>
      <w:ind w:left="1080"/>
    </w:pPr>
  </w:style>
  <w:style w:type="paragraph" w:customStyle="1" w:styleId="Eqwhere">
    <w:name w:val="Eqwhere"/>
    <w:basedOn w:val="BodyText"/>
    <w:pPr>
      <w:spacing w:after="240"/>
      <w:ind w:left="720"/>
    </w:pPr>
  </w:style>
  <w:style w:type="character" w:styleId="FollowedHyperlink">
    <w:name w:val="FollowedHyperlink"/>
    <w:basedOn w:val="DefaultParagraphFont"/>
    <w:rPr>
      <w:rFonts w:cs="Times New Roman"/>
      <w:color w:val="auto"/>
      <w:u w:val="none"/>
    </w:rPr>
  </w:style>
  <w:style w:type="paragraph" w:styleId="Header">
    <w:name w:val="header"/>
    <w:basedOn w:val="Normal"/>
    <w:pPr>
      <w:tabs>
        <w:tab w:val="right" w:pos="9000"/>
      </w:tabs>
      <w:spacing w:after="0" w:line="240" w:lineRule="exact"/>
      <w:jc w:val="left"/>
    </w:pPr>
    <w:rPr>
      <w:rFonts w:ascii="Arial" w:hAnsi="Arial"/>
      <w:color w:val="0066CC"/>
      <w:kern w:val="18"/>
      <w:sz w:val="18"/>
    </w:rPr>
  </w:style>
  <w:style w:type="paragraph" w:styleId="Footer">
    <w:name w:val="footer"/>
    <w:basedOn w:val="Header"/>
    <w:semiHidden/>
  </w:style>
  <w:style w:type="character" w:styleId="FootnoteReference">
    <w:name w:val="footnote reference"/>
    <w:basedOn w:val="DefaultParagraphFont"/>
    <w:semiHidden/>
    <w:rPr>
      <w:rFonts w:cs="Times New Roman"/>
      <w:vertAlign w:val="superscript"/>
    </w:rPr>
  </w:style>
  <w:style w:type="paragraph" w:styleId="FootnoteText">
    <w:name w:val="footnote text"/>
    <w:basedOn w:val="Normal"/>
    <w:semiHidden/>
    <w:pPr>
      <w:tabs>
        <w:tab w:val="left" w:pos="180"/>
      </w:tabs>
      <w:spacing w:after="0"/>
      <w:ind w:left="180" w:hanging="180"/>
      <w:jc w:val="left"/>
    </w:pPr>
    <w:rPr>
      <w:sz w:val="18"/>
    </w:rPr>
  </w:style>
  <w:style w:type="paragraph" w:customStyle="1" w:styleId="Hidden">
    <w:name w:val="Hidden"/>
    <w:basedOn w:val="DocumentControl"/>
    <w:rPr>
      <w:vanish/>
      <w:color w:val="FF6633"/>
    </w:rPr>
  </w:style>
  <w:style w:type="character" w:styleId="Hyperlink">
    <w:name w:val="Hyperlink"/>
    <w:basedOn w:val="DefaultParagraphFont"/>
    <w:rPr>
      <w:rFonts w:cs="Times New Roman"/>
      <w:color w:val="auto"/>
    </w:rPr>
  </w:style>
  <w:style w:type="paragraph" w:styleId="ListBullet">
    <w:name w:val="List Bullet"/>
    <w:basedOn w:val="Normal"/>
    <w:pPr>
      <w:numPr>
        <w:ilvl w:val="2"/>
        <w:numId w:val="10"/>
      </w:numPr>
    </w:pPr>
  </w:style>
  <w:style w:type="paragraph" w:styleId="ListBullet2">
    <w:name w:val="List Bullet 2"/>
    <w:basedOn w:val="Normal"/>
    <w:pPr>
      <w:numPr>
        <w:ilvl w:val="3"/>
        <w:numId w:val="10"/>
      </w:numPr>
    </w:pPr>
  </w:style>
  <w:style w:type="paragraph" w:styleId="PlainText">
    <w:name w:val="Plain Text"/>
    <w:basedOn w:val="Normal"/>
    <w:rPr>
      <w:rFonts w:ascii="Courier" w:hAnsi="Courier"/>
      <w:szCs w:val="24"/>
    </w:rPr>
  </w:style>
  <w:style w:type="paragraph" w:customStyle="1" w:styleId="Quotation">
    <w:name w:val="Quotation"/>
    <w:basedOn w:val="BodyText"/>
    <w:pPr>
      <w:spacing w:after="240"/>
      <w:ind w:left="1080" w:right="360"/>
      <w:jc w:val="both"/>
    </w:pPr>
    <w:rPr>
      <w:spacing w:val="-4"/>
      <w:kern w:val="20"/>
    </w:rPr>
  </w:style>
  <w:style w:type="paragraph" w:customStyle="1" w:styleId="Table">
    <w:name w:val="Table"/>
    <w:basedOn w:val="Normal"/>
    <w:rsid w:val="00ED53D0"/>
    <w:pPr>
      <w:tabs>
        <w:tab w:val="num" w:pos="720"/>
      </w:tabs>
      <w:spacing w:before="60" w:after="60"/>
      <w:jc w:val="left"/>
    </w:pPr>
    <w:rPr>
      <w:sz w:val="22"/>
    </w:rPr>
  </w:style>
  <w:style w:type="table" w:styleId="TableGrid">
    <w:name w:val="Table Grid"/>
    <w:basedOn w:val="TableNormal"/>
    <w:pPr>
      <w:spacing w:after="240"/>
      <w:jc w:val="both"/>
    </w:pPr>
    <w:rPr>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LastNote">
    <w:name w:val="Table Last Note"/>
    <w:basedOn w:val="Normal"/>
    <w:pPr>
      <w:keepLines/>
      <w:tabs>
        <w:tab w:val="num" w:pos="0"/>
      </w:tabs>
      <w:spacing w:before="40"/>
    </w:pPr>
    <w:rPr>
      <w:rFonts w:cs="Arial"/>
      <w:sz w:val="18"/>
      <w:szCs w:val="24"/>
    </w:rPr>
  </w:style>
  <w:style w:type="paragraph" w:customStyle="1" w:styleId="TableNotes">
    <w:name w:val="Table Notes"/>
    <w:basedOn w:val="Normal"/>
    <w:pPr>
      <w:keepNext/>
      <w:keepLines/>
      <w:tabs>
        <w:tab w:val="num" w:pos="720"/>
      </w:tabs>
      <w:spacing w:before="40" w:after="40"/>
    </w:pPr>
    <w:rPr>
      <w:i/>
      <w:sz w:val="18"/>
    </w:rPr>
  </w:style>
  <w:style w:type="paragraph" w:customStyle="1" w:styleId="Text">
    <w:name w:val="Text"/>
    <w:basedOn w:val="Normal"/>
    <w:pPr>
      <w:numPr>
        <w:ilvl w:val="1"/>
        <w:numId w:val="10"/>
      </w:numPr>
    </w:pPr>
  </w:style>
  <w:style w:type="paragraph" w:styleId="TOC1">
    <w:name w:val="toc 1"/>
    <w:basedOn w:val="Normal"/>
    <w:next w:val="Normal"/>
    <w:autoRedefine/>
    <w:semiHidden/>
    <w:pPr>
      <w:keepNext/>
      <w:tabs>
        <w:tab w:val="left" w:pos="353"/>
        <w:tab w:val="right" w:leader="dot" w:pos="9000"/>
      </w:tabs>
      <w:spacing w:before="180" w:after="0"/>
      <w:ind w:left="360" w:right="374" w:hanging="360"/>
      <w:jc w:val="left"/>
    </w:pPr>
    <w:rPr>
      <w:rFonts w:ascii="Arial" w:hAnsi="Arial"/>
      <w:b/>
      <w:noProof/>
      <w:kern w:val="0"/>
      <w:sz w:val="22"/>
    </w:rPr>
  </w:style>
  <w:style w:type="paragraph" w:styleId="TOC2">
    <w:name w:val="toc 2"/>
    <w:basedOn w:val="Normal"/>
    <w:next w:val="Normal"/>
    <w:autoRedefine/>
    <w:semiHidden/>
    <w:pPr>
      <w:tabs>
        <w:tab w:val="right" w:leader="dot" w:pos="9000"/>
      </w:tabs>
      <w:spacing w:before="240" w:after="0"/>
      <w:ind w:right="360"/>
      <w:jc w:val="left"/>
    </w:pPr>
    <w:rPr>
      <w:b/>
      <w:noProof/>
      <w:kern w:val="0"/>
      <w:sz w:val="22"/>
    </w:rPr>
  </w:style>
  <w:style w:type="paragraph" w:styleId="TOC3">
    <w:name w:val="toc 3"/>
    <w:basedOn w:val="Normal"/>
    <w:next w:val="Normal"/>
    <w:autoRedefine/>
    <w:semiHidden/>
    <w:pPr>
      <w:tabs>
        <w:tab w:val="right" w:leader="dot" w:pos="9000"/>
      </w:tabs>
      <w:spacing w:after="0"/>
      <w:ind w:right="380"/>
    </w:pPr>
    <w:rPr>
      <w:noProof/>
      <w:sz w:val="18"/>
    </w:rPr>
  </w:style>
  <w:style w:type="paragraph" w:styleId="TOCHeading">
    <w:name w:val="TOC Heading"/>
    <w:basedOn w:val="TOC1"/>
    <w:qFormat/>
    <w:pPr>
      <w:ind w:right="0"/>
    </w:pPr>
  </w:style>
  <w:style w:type="paragraph" w:customStyle="1" w:styleId="Default">
    <w:name w:val="Default"/>
    <w:rsid w:val="008A3EC3"/>
    <w:pPr>
      <w:autoSpaceDE w:val="0"/>
      <w:autoSpaceDN w:val="0"/>
      <w:adjustRightInd w:val="0"/>
    </w:pPr>
    <w:rPr>
      <w:rFonts w:ascii="Verdana" w:hAnsi="Verdana" w:cs="Verdana"/>
      <w:color w:val="000000"/>
      <w:sz w:val="24"/>
      <w:szCs w:val="24"/>
      <w:lang w:bidi="en-US"/>
    </w:rPr>
  </w:style>
  <w:style w:type="paragraph" w:customStyle="1" w:styleId="TableCV">
    <w:name w:val="Table CV"/>
    <w:basedOn w:val="TableNotes"/>
    <w:rsid w:val="00123576"/>
    <w:pPr>
      <w:keepNext w:val="0"/>
      <w:spacing w:after="0"/>
    </w:pPr>
    <w:rPr>
      <w:i w:val="0"/>
      <w:sz w:val="24"/>
      <w:szCs w:val="24"/>
    </w:rPr>
  </w:style>
  <w:style w:type="paragraph" w:customStyle="1" w:styleId="TableCVStrong">
    <w:name w:val="Table CV Strong"/>
    <w:basedOn w:val="TableCV"/>
    <w:next w:val="TableCV"/>
    <w:rsid w:val="00123576"/>
    <w:pPr>
      <w:spacing w:before="240"/>
    </w:pPr>
    <w:rPr>
      <w:b/>
    </w:rPr>
  </w:style>
  <w:style w:type="paragraph" w:customStyle="1" w:styleId="TableCVTitle">
    <w:name w:val="Table CV Title"/>
    <w:basedOn w:val="TableCV"/>
    <w:rsid w:val="00123576"/>
    <w:pPr>
      <w:spacing w:before="0" w:after="200"/>
    </w:pPr>
    <w:rPr>
      <w:rFonts w:ascii="Arial Black" w:hAnsi="Arial Black"/>
      <w:sz w:val="28"/>
      <w:szCs w:val="28"/>
    </w:rPr>
  </w:style>
  <w:style w:type="paragraph" w:customStyle="1" w:styleId="tablenote">
    <w:name w:val="table note"/>
    <w:basedOn w:val="Text"/>
    <w:rsid w:val="00CD59B8"/>
  </w:style>
  <w:style w:type="paragraph" w:customStyle="1" w:styleId="Masthead">
    <w:name w:val="Masthead"/>
    <w:basedOn w:val="Normal"/>
    <w:rsid w:val="004D3891"/>
    <w:pPr>
      <w:numPr>
        <w:numId w:val="3"/>
      </w:numPr>
      <w:tabs>
        <w:tab w:val="right" w:pos="9000"/>
      </w:tabs>
      <w:outlineLvl w:val="3"/>
    </w:pPr>
    <w:rPr>
      <w:rFonts w:ascii="Arial" w:hAnsi="Arial"/>
      <w:b/>
      <w:sz w:val="20"/>
    </w:rPr>
  </w:style>
  <w:style w:type="character" w:customStyle="1" w:styleId="Heading2Char">
    <w:name w:val="Heading 2 Char"/>
    <w:basedOn w:val="DefaultParagraphFont"/>
    <w:link w:val="Heading2"/>
    <w:rsid w:val="002F4923"/>
    <w:rPr>
      <w:rFonts w:ascii="Arial" w:hAnsi="Arial"/>
      <w:b/>
      <w:color w:val="333333"/>
      <w:sz w:val="22"/>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041">
      <w:bodyDiv w:val="1"/>
      <w:marLeft w:val="0"/>
      <w:marRight w:val="0"/>
      <w:marTop w:val="0"/>
      <w:marBottom w:val="0"/>
      <w:divBdr>
        <w:top w:val="none" w:sz="0" w:space="0" w:color="auto"/>
        <w:left w:val="none" w:sz="0" w:space="0" w:color="auto"/>
        <w:bottom w:val="none" w:sz="0" w:space="0" w:color="auto"/>
        <w:right w:val="none" w:sz="0" w:space="0" w:color="auto"/>
      </w:divBdr>
    </w:div>
    <w:div w:id="1141196175">
      <w:bodyDiv w:val="1"/>
      <w:marLeft w:val="0"/>
      <w:marRight w:val="0"/>
      <w:marTop w:val="0"/>
      <w:marBottom w:val="0"/>
      <w:divBdr>
        <w:top w:val="none" w:sz="0" w:space="0" w:color="auto"/>
        <w:left w:val="none" w:sz="0" w:space="0" w:color="auto"/>
        <w:bottom w:val="none" w:sz="0" w:space="0" w:color="auto"/>
        <w:right w:val="none" w:sz="0" w:space="0" w:color="auto"/>
      </w:divBdr>
    </w:div>
    <w:div w:id="15669858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header" Target="header3.xml"/><Relationship Id="rId23" Type="http://schemas.openxmlformats.org/officeDocument/2006/relationships/footer" Target="footer3.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hyperlink" Target="http://reckon.co.uk/c91335.zip" TargetMode="External"/><Relationship Id="rId14" Type="http://schemas.openxmlformats.org/officeDocument/2006/relationships/hyperlink" Target="mailto:iain.morgan@ofgem.gov.uk" TargetMode="External"/><Relationship Id="rId15" Type="http://schemas.openxmlformats.org/officeDocument/2006/relationships/image" Target="media/image6.jpeg"/><Relationship Id="rId16" Type="http://schemas.openxmlformats.org/officeDocument/2006/relationships/hyperlink" Target="mailto:f20@reckon.co.uk" TargetMode="External"/><Relationship Id="rId17" Type="http://schemas.openxmlformats.org/officeDocument/2006/relationships/hyperlink" Target="http://dcmf.co.uk/models/dcp123.html" TargetMode="External"/><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1396</Words>
  <Characters>7958</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9336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 Latrémolière (Reckon)</dc:creator>
  <cp:keywords/>
  <dc:description/>
  <cp:lastModifiedBy>Franck Latrémolière (Reckon)</cp:lastModifiedBy>
  <cp:revision>3</cp:revision>
  <cp:lastPrinted>2014-06-17T17:24:00Z</cp:lastPrinted>
  <dcterms:created xsi:type="dcterms:W3CDTF">2014-06-17T17:24:00Z</dcterms:created>
  <dcterms:modified xsi:type="dcterms:W3CDTF">2014-06-17T17:24:00Z</dcterms:modified>
  <cp:category/>
</cp:coreProperties>
</file>