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17897" w14:textId="77777777" w:rsidR="00355C86" w:rsidRPr="004D3891" w:rsidRDefault="007A58EC" w:rsidP="004D3891">
      <w:pPr>
        <w:pStyle w:val="Masthead"/>
      </w:pPr>
      <w:r w:rsidRPr="004D3891">
        <w:t>Reckon LLP e</w:t>
      </w:r>
      <w:r w:rsidR="00677898" w:rsidRPr="004D3891">
        <w:t>lectricity c</w:t>
      </w:r>
      <w:r w:rsidR="0095680E" w:rsidRPr="004D3891">
        <w:t>ustomer</w:t>
      </w:r>
      <w:r w:rsidR="00123180">
        <w:t xml:space="preserve"> alert</w:t>
      </w:r>
      <w:r w:rsidR="00123180">
        <w:tab/>
      </w:r>
      <w:r w:rsidR="008B1DF3">
        <w:t>DCP 161</w:t>
      </w:r>
      <w:r w:rsidR="00123180">
        <w:t xml:space="preserve"> </w:t>
      </w:r>
      <w:r w:rsidR="00992466" w:rsidRPr="004D3891">
        <w:t xml:space="preserve">— </w:t>
      </w:r>
      <w:r w:rsidR="00123180" w:rsidRPr="00AB6F30">
        <w:fldChar w:fldCharType="begin"/>
      </w:r>
      <w:r w:rsidR="00123180" w:rsidRPr="00AB6F30">
        <w:instrText xml:space="preserve"> SAVEDATE \@ "d MMMM yyyy" </w:instrText>
      </w:r>
      <w:r w:rsidR="00123180" w:rsidRPr="00AB6F30">
        <w:fldChar w:fldCharType="separate"/>
      </w:r>
      <w:r w:rsidR="002F59B5">
        <w:rPr>
          <w:noProof/>
        </w:rPr>
        <w:t>1 July 2014</w:t>
      </w:r>
      <w:r w:rsidR="00123180" w:rsidRPr="00AB6F30">
        <w:fldChar w:fldCharType="end"/>
      </w:r>
    </w:p>
    <w:p w14:paraId="07DC4068" w14:textId="42AF09B8" w:rsidR="009F50F0" w:rsidRPr="008B1DF3" w:rsidRDefault="008B1DF3" w:rsidP="008B1DF3">
      <w:pPr>
        <w:pStyle w:val="Heading1"/>
        <w:numPr>
          <w:ilvl w:val="0"/>
          <w:numId w:val="0"/>
        </w:numPr>
      </w:pPr>
      <w:r>
        <w:t>Possible</w:t>
      </w:r>
      <w:r w:rsidRPr="008B1DF3">
        <w:t xml:space="preserve"> increase </w:t>
      </w:r>
      <w:r>
        <w:t xml:space="preserve">of </w:t>
      </w:r>
      <w:r w:rsidRPr="008B1DF3">
        <w:t>exceeded capacity charges from 1 April 2015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36"/>
        <w:gridCol w:w="2160"/>
        <w:gridCol w:w="236"/>
        <w:gridCol w:w="2160"/>
        <w:gridCol w:w="236"/>
        <w:gridCol w:w="2160"/>
      </w:tblGrid>
      <w:tr w:rsidR="00645813" w:rsidRPr="008B1DF3" w14:paraId="7C1E945F" w14:textId="77777777" w:rsidTr="00645813">
        <w:trPr>
          <w:jc w:val="center"/>
        </w:trPr>
        <w:tc>
          <w:tcPr>
            <w:tcW w:w="2160" w:type="dxa"/>
            <w:shd w:val="clear" w:color="auto" w:fill="DAEEF3" w:themeFill="accent5" w:themeFillTint="33"/>
            <w:vAlign w:val="bottom"/>
          </w:tcPr>
          <w:p w14:paraId="279F7986" w14:textId="77777777" w:rsidR="00645813" w:rsidRPr="008B1DF3" w:rsidRDefault="00645813" w:rsidP="008B1DF3">
            <w:pPr>
              <w:pStyle w:val="Table10BC"/>
            </w:pPr>
            <w:r w:rsidRPr="008B1DF3">
              <w:t>Domestic customers</w:t>
            </w:r>
          </w:p>
        </w:tc>
        <w:tc>
          <w:tcPr>
            <w:tcW w:w="0" w:type="dxa"/>
            <w:shd w:val="clear" w:color="auto" w:fill="auto"/>
          </w:tcPr>
          <w:p w14:paraId="2C05D5CF" w14:textId="77777777" w:rsidR="00645813" w:rsidRPr="008B1DF3" w:rsidRDefault="00645813" w:rsidP="008B1DF3">
            <w:pPr>
              <w:pStyle w:val="Table10BC"/>
            </w:pPr>
          </w:p>
        </w:tc>
        <w:tc>
          <w:tcPr>
            <w:tcW w:w="2160" w:type="dxa"/>
            <w:shd w:val="clear" w:color="auto" w:fill="EAF1DD" w:themeFill="accent3" w:themeFillTint="33"/>
            <w:vAlign w:val="bottom"/>
          </w:tcPr>
          <w:p w14:paraId="76E82EA7" w14:textId="77777777" w:rsidR="00645813" w:rsidRPr="008B1DF3" w:rsidRDefault="00645813" w:rsidP="008B1DF3">
            <w:pPr>
              <w:pStyle w:val="Table10BC"/>
            </w:pPr>
            <w:r w:rsidRPr="008B1DF3">
              <w:t>Non half hourly business customers</w:t>
            </w:r>
          </w:p>
        </w:tc>
        <w:tc>
          <w:tcPr>
            <w:tcW w:w="0" w:type="dxa"/>
            <w:shd w:val="clear" w:color="auto" w:fill="auto"/>
          </w:tcPr>
          <w:p w14:paraId="4452AF4F" w14:textId="77777777" w:rsidR="00645813" w:rsidRPr="008B1DF3" w:rsidRDefault="00645813" w:rsidP="008B1DF3">
            <w:pPr>
              <w:pStyle w:val="Table10BC"/>
            </w:pPr>
          </w:p>
        </w:tc>
        <w:tc>
          <w:tcPr>
            <w:tcW w:w="2160" w:type="dxa"/>
            <w:shd w:val="clear" w:color="auto" w:fill="FDE9D9" w:themeFill="accent6" w:themeFillTint="33"/>
            <w:vAlign w:val="bottom"/>
          </w:tcPr>
          <w:p w14:paraId="331C403E" w14:textId="77777777" w:rsidR="00645813" w:rsidRPr="008B1DF3" w:rsidRDefault="00645813" w:rsidP="008B1DF3">
            <w:pPr>
              <w:pStyle w:val="Table10BC"/>
            </w:pPr>
            <w:r w:rsidRPr="008B1DF3">
              <w:t>Half hourly CDCM business customers</w:t>
            </w:r>
          </w:p>
        </w:tc>
        <w:tc>
          <w:tcPr>
            <w:tcW w:w="0" w:type="dxa"/>
            <w:shd w:val="clear" w:color="auto" w:fill="auto"/>
          </w:tcPr>
          <w:p w14:paraId="5DD95C7E" w14:textId="77777777" w:rsidR="00645813" w:rsidRPr="008B1DF3" w:rsidRDefault="00645813" w:rsidP="008B1DF3">
            <w:pPr>
              <w:pStyle w:val="Table10BC"/>
            </w:pPr>
          </w:p>
        </w:tc>
        <w:tc>
          <w:tcPr>
            <w:tcW w:w="2160" w:type="dxa"/>
            <w:shd w:val="clear" w:color="auto" w:fill="E5DFEC" w:themeFill="accent4" w:themeFillTint="33"/>
            <w:vAlign w:val="bottom"/>
          </w:tcPr>
          <w:p w14:paraId="76BE4308" w14:textId="77777777" w:rsidR="00645813" w:rsidRPr="008B1DF3" w:rsidRDefault="00645813" w:rsidP="008B1DF3">
            <w:pPr>
              <w:pStyle w:val="Table10BC"/>
            </w:pPr>
            <w:r w:rsidRPr="008B1DF3">
              <w:t>Site-specific EDCM business customers</w:t>
            </w:r>
          </w:p>
        </w:tc>
      </w:tr>
      <w:tr w:rsidR="00645813" w:rsidRPr="008B1DF3" w14:paraId="615F4494" w14:textId="77777777" w:rsidTr="00645813">
        <w:trPr>
          <w:trHeight w:val="548"/>
          <w:jc w:val="center"/>
        </w:trPr>
        <w:tc>
          <w:tcPr>
            <w:tcW w:w="2160" w:type="dxa"/>
            <w:shd w:val="clear" w:color="auto" w:fill="DAEEF3" w:themeFill="accent5" w:themeFillTint="33"/>
          </w:tcPr>
          <w:p w14:paraId="3C2EF420" w14:textId="77777777" w:rsidR="008B1DF3" w:rsidRPr="008B1DF3" w:rsidRDefault="008B1DF3" w:rsidP="008B1DF3">
            <w:pPr>
              <w:pStyle w:val="Table10BC"/>
            </w:pPr>
            <w:r w:rsidRPr="008B1DF3">
              <w:rPr>
                <w:noProof/>
                <w:lang w:val="en-US" w:bidi="ar-SA"/>
              </w:rPr>
              <w:drawing>
                <wp:inline distT="0" distB="0" distL="0" distR="0" wp14:anchorId="4F3F0C58" wp14:editId="40C95E9D">
                  <wp:extent cx="457200" cy="457200"/>
                  <wp:effectExtent l="0" t="0" r="0" b="0"/>
                  <wp:docPr id="2" name="Picture 2"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05853F4" w14:textId="77777777" w:rsidR="00645813" w:rsidRPr="008B1DF3" w:rsidRDefault="008B1DF3" w:rsidP="008B1DF3">
            <w:pPr>
              <w:pStyle w:val="Table10BC"/>
            </w:pPr>
            <w:r w:rsidRPr="008B1DF3">
              <w:t>Slight reduction in network costs</w:t>
            </w:r>
          </w:p>
        </w:tc>
        <w:tc>
          <w:tcPr>
            <w:tcW w:w="0" w:type="dxa"/>
            <w:shd w:val="clear" w:color="auto" w:fill="auto"/>
          </w:tcPr>
          <w:p w14:paraId="079999CD" w14:textId="77777777" w:rsidR="00645813" w:rsidRPr="008B1DF3" w:rsidRDefault="00645813" w:rsidP="008B1DF3">
            <w:pPr>
              <w:pStyle w:val="Table10BC"/>
            </w:pPr>
          </w:p>
        </w:tc>
        <w:tc>
          <w:tcPr>
            <w:tcW w:w="2160" w:type="dxa"/>
            <w:shd w:val="clear" w:color="auto" w:fill="EAF1DD" w:themeFill="accent3" w:themeFillTint="33"/>
          </w:tcPr>
          <w:p w14:paraId="2AADFF27" w14:textId="77777777" w:rsidR="008B1DF3" w:rsidRPr="008B1DF3" w:rsidRDefault="008B1DF3" w:rsidP="008B1DF3">
            <w:pPr>
              <w:pStyle w:val="Table10BC"/>
            </w:pPr>
            <w:r w:rsidRPr="008B1DF3">
              <w:rPr>
                <w:noProof/>
                <w:lang w:val="en-US" w:bidi="ar-SA"/>
              </w:rPr>
              <w:drawing>
                <wp:inline distT="0" distB="0" distL="0" distR="0" wp14:anchorId="083F944A" wp14:editId="0A2899E7">
                  <wp:extent cx="457200" cy="457200"/>
                  <wp:effectExtent l="0" t="0" r="0" b="0"/>
                  <wp:docPr id="1" name="Picture 1" descr="Macintosh HD:Users:franck:Documents:Blue Badger:DCPs &amp; alert:Weather symbols:Symbol 1 (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franck:Documents:Blue Badger:DCPs &amp; alert:Weather symbols:Symbol 1 (su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70223F0D" w14:textId="77777777" w:rsidR="00645813" w:rsidRPr="008B1DF3" w:rsidRDefault="008B1DF3" w:rsidP="008B1DF3">
            <w:pPr>
              <w:pStyle w:val="Table10BC"/>
            </w:pPr>
            <w:r w:rsidRPr="008B1DF3">
              <w:t>Slight reduction in network costs</w:t>
            </w:r>
          </w:p>
        </w:tc>
        <w:tc>
          <w:tcPr>
            <w:tcW w:w="0" w:type="dxa"/>
            <w:shd w:val="clear" w:color="auto" w:fill="auto"/>
          </w:tcPr>
          <w:p w14:paraId="6CD9C54A" w14:textId="77777777" w:rsidR="00645813" w:rsidRPr="008B1DF3" w:rsidRDefault="00645813" w:rsidP="008B1DF3">
            <w:pPr>
              <w:pStyle w:val="Table10BC"/>
            </w:pPr>
          </w:p>
        </w:tc>
        <w:tc>
          <w:tcPr>
            <w:tcW w:w="2160" w:type="dxa"/>
            <w:shd w:val="clear" w:color="auto" w:fill="FDE9D9" w:themeFill="accent6" w:themeFillTint="33"/>
          </w:tcPr>
          <w:p w14:paraId="7972938D" w14:textId="77777777" w:rsidR="008B1DF3" w:rsidRPr="008B1DF3" w:rsidRDefault="008B1DF3" w:rsidP="008B1DF3">
            <w:pPr>
              <w:pStyle w:val="Table10BC"/>
            </w:pPr>
            <w:r w:rsidRPr="008B1DF3">
              <w:rPr>
                <w:noProof/>
                <w:lang w:val="en-US" w:bidi="ar-SA"/>
              </w:rPr>
              <w:drawing>
                <wp:inline distT="0" distB="0" distL="0" distR="0" wp14:anchorId="52A4DD2D" wp14:editId="19C5F246">
                  <wp:extent cx="457200" cy="457200"/>
                  <wp:effectExtent l="0" t="0" r="0" b="0"/>
                  <wp:docPr id="5" name="Picture 5" descr="Macintosh HD:Users:franck:Documents:Blue Badger:DCPs &amp; alert:Weather symbols:Symbol 4 (r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franck:Documents:Blue Badger:DCPs &amp; alert:Weather symbols:Symbol 4 (rai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3B93892D" w14:textId="77777777" w:rsidR="00645813" w:rsidRPr="008B1DF3" w:rsidRDefault="008B1DF3" w:rsidP="008B1DF3">
            <w:pPr>
              <w:pStyle w:val="Table10BC"/>
            </w:pPr>
            <w:r w:rsidRPr="008B1DF3">
              <w:t>Significant detriment to some customers</w:t>
            </w:r>
          </w:p>
        </w:tc>
        <w:tc>
          <w:tcPr>
            <w:tcW w:w="0" w:type="dxa"/>
            <w:shd w:val="clear" w:color="auto" w:fill="auto"/>
          </w:tcPr>
          <w:p w14:paraId="26024E0E" w14:textId="77777777" w:rsidR="00645813" w:rsidRPr="008B1DF3" w:rsidRDefault="00645813" w:rsidP="008B1DF3">
            <w:pPr>
              <w:pStyle w:val="Table10BC"/>
            </w:pPr>
          </w:p>
        </w:tc>
        <w:tc>
          <w:tcPr>
            <w:tcW w:w="2160" w:type="dxa"/>
            <w:shd w:val="clear" w:color="auto" w:fill="E5DFEC" w:themeFill="accent4" w:themeFillTint="33"/>
          </w:tcPr>
          <w:p w14:paraId="4179263C" w14:textId="77777777" w:rsidR="008B1DF3" w:rsidRPr="008B1DF3" w:rsidRDefault="008B1DF3" w:rsidP="008B1DF3">
            <w:pPr>
              <w:pStyle w:val="Table10BC"/>
            </w:pPr>
            <w:r w:rsidRPr="008B1DF3">
              <w:rPr>
                <w:noProof/>
                <w:lang w:val="en-US" w:bidi="ar-SA"/>
              </w:rPr>
              <w:drawing>
                <wp:inline distT="0" distB="0" distL="0" distR="0" wp14:anchorId="59EC229F" wp14:editId="52F91AA2">
                  <wp:extent cx="457200" cy="457200"/>
                  <wp:effectExtent l="0" t="0" r="0" b="0"/>
                  <wp:docPr id="7" name="Picture 7" descr="Macintosh HD:Users:franck:Documents:Blue Badger:DCPs &amp; alert:Weather symbols:Symbol 3 (clou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franck:Documents:Blue Badger:DCPs &amp; alert:Weather symbols:Symbol 3 (cloud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FBC99A5" w14:textId="77777777" w:rsidR="00645813" w:rsidRPr="008B1DF3" w:rsidRDefault="008B1DF3" w:rsidP="008B1DF3">
            <w:pPr>
              <w:pStyle w:val="Table10BC"/>
            </w:pPr>
            <w:r w:rsidRPr="008B1DF3">
              <w:t>No impact now, but dangerous precedent</w:t>
            </w:r>
          </w:p>
        </w:tc>
      </w:tr>
    </w:tbl>
    <w:p w14:paraId="1ED6C25A" w14:textId="77777777" w:rsidR="00CD59B8" w:rsidRPr="008137C8" w:rsidRDefault="00CD59B8" w:rsidP="00A5429F">
      <w:pPr>
        <w:pStyle w:val="TableLastNote"/>
      </w:pPr>
    </w:p>
    <w:p w14:paraId="2FEAAF58" w14:textId="45B1EF95" w:rsidR="00280ACD" w:rsidRPr="00677898" w:rsidRDefault="00280ACD" w:rsidP="00280ACD">
      <w:pPr>
        <w:pStyle w:val="Text"/>
        <w:numPr>
          <w:ilvl w:val="1"/>
          <w:numId w:val="3"/>
        </w:numPr>
      </w:pPr>
      <w:r w:rsidRPr="00D62425">
        <w:t>This alert is about</w:t>
      </w:r>
      <w:r>
        <w:t xml:space="preserve"> a proposal of the electricity industry to increase charges for exceeded capacity from 1 April 2015.  </w:t>
      </w:r>
      <w:r w:rsidR="00C93266">
        <w:t>An i</w:t>
      </w:r>
      <w:r>
        <w:t xml:space="preserve">ndustry consultation </w:t>
      </w:r>
      <w:r w:rsidR="005506FA">
        <w:t>closed</w:t>
      </w:r>
      <w:bookmarkStart w:id="0" w:name="_GoBack"/>
      <w:bookmarkEnd w:id="0"/>
      <w:r w:rsidR="00B31B90">
        <w:t xml:space="preserve"> on 30 April 2014</w:t>
      </w:r>
      <w:r>
        <w:t>.</w:t>
      </w:r>
    </w:p>
    <w:p w14:paraId="595582BB" w14:textId="77777777" w:rsidR="00280ACD" w:rsidRDefault="00280ACD" w:rsidP="00280ACD">
      <w:pPr>
        <w:pStyle w:val="Heading2"/>
      </w:pPr>
      <w:r>
        <w:t>Who is affected?</w:t>
      </w:r>
    </w:p>
    <w:p w14:paraId="40852FE0" w14:textId="6BFBF9B8" w:rsidR="00280ACD" w:rsidRDefault="00280ACD" w:rsidP="00280ACD">
      <w:pPr>
        <w:pStyle w:val="Text"/>
        <w:numPr>
          <w:ilvl w:val="1"/>
          <w:numId w:val="3"/>
        </w:numPr>
      </w:pPr>
      <w:r>
        <w:t xml:space="preserve">The tariff </w:t>
      </w:r>
      <w:r w:rsidR="00B31B90">
        <w:t xml:space="preserve">directly affected by this change is the one that </w:t>
      </w:r>
      <w:r>
        <w:t xml:space="preserve">applies to </w:t>
      </w:r>
      <w:r w:rsidR="004D48F8">
        <w:t xml:space="preserve">half </w:t>
      </w:r>
      <w:proofErr w:type="gramStart"/>
      <w:r w:rsidR="004D48F8">
        <w:t xml:space="preserve">hourly </w:t>
      </w:r>
      <w:r w:rsidRPr="00677898">
        <w:t>metered</w:t>
      </w:r>
      <w:proofErr w:type="gramEnd"/>
      <w:r w:rsidRPr="00677898">
        <w:t xml:space="preserve"> sites </w:t>
      </w:r>
      <w:r>
        <w:t>across England, Wales and Scotland, except the 1,700 EDCM sites that are supplied directly from a primary substation or at voltages of 22,000 Volts or more.</w:t>
      </w:r>
    </w:p>
    <w:p w14:paraId="508A8C73" w14:textId="77777777" w:rsidR="00280ACD" w:rsidRPr="00677898" w:rsidRDefault="00280ACD" w:rsidP="00280ACD">
      <w:pPr>
        <w:pStyle w:val="Text"/>
        <w:numPr>
          <w:ilvl w:val="1"/>
          <w:numId w:val="3"/>
        </w:numPr>
      </w:pPr>
      <w:r>
        <w:t xml:space="preserve">The increase only bites where recorded consumption (active and reactive) exceeds the Maximum Import Capacity figure (kVA) held in the DNO’s records.  Out of about 100,000 half hourly </w:t>
      </w:r>
      <w:r w:rsidRPr="00677898">
        <w:t>metered sites</w:t>
      </w:r>
      <w:r>
        <w:t xml:space="preserve">, some </w:t>
      </w:r>
      <w:r w:rsidRPr="005F375E">
        <w:rPr>
          <w:b/>
        </w:rPr>
        <w:t xml:space="preserve">25,000 </w:t>
      </w:r>
      <w:r>
        <w:rPr>
          <w:b/>
        </w:rPr>
        <w:t xml:space="preserve">sites are </w:t>
      </w:r>
      <w:r w:rsidRPr="005F375E">
        <w:rPr>
          <w:b/>
        </w:rPr>
        <w:t xml:space="preserve">affected </w:t>
      </w:r>
      <w:r>
        <w:rPr>
          <w:b/>
        </w:rPr>
        <w:t>by the increase</w:t>
      </w:r>
      <w:r w:rsidRPr="00677898">
        <w:t>.</w:t>
      </w:r>
    </w:p>
    <w:p w14:paraId="6E3AFD14" w14:textId="77777777" w:rsidR="00280ACD" w:rsidRDefault="00280ACD" w:rsidP="00280ACD">
      <w:pPr>
        <w:pStyle w:val="Heading2"/>
      </w:pPr>
      <w:r>
        <w:t>What is the proposed change about?</w:t>
      </w:r>
    </w:p>
    <w:p w14:paraId="0933D935" w14:textId="77777777" w:rsidR="0066218D" w:rsidRDefault="0066218D" w:rsidP="0066218D">
      <w:pPr>
        <w:pStyle w:val="Text"/>
        <w:numPr>
          <w:ilvl w:val="1"/>
          <w:numId w:val="3"/>
        </w:numPr>
      </w:pPr>
      <w:r>
        <w:t>Distribution Network Operators (DNOs) are distinct from suppliers.  DNOs run networks and charge suppliers for their use; suppliers recover the costs from users, sometimes explicitly, sometimes as part of a bundled supply tariff.</w:t>
      </w:r>
    </w:p>
    <w:p w14:paraId="29753147" w14:textId="77777777" w:rsidR="00280ACD" w:rsidRDefault="00280ACD" w:rsidP="00280ACD">
      <w:pPr>
        <w:pStyle w:val="Text"/>
        <w:numPr>
          <w:ilvl w:val="1"/>
          <w:numId w:val="3"/>
        </w:numPr>
      </w:pPr>
      <w:r>
        <w:t xml:space="preserve">The proposal is to increase the capacity charges levied by DNOs on suppliers in respect of half </w:t>
      </w:r>
      <w:proofErr w:type="gramStart"/>
      <w:r>
        <w:t>hourly metered</w:t>
      </w:r>
      <w:proofErr w:type="gramEnd"/>
      <w:r>
        <w:t xml:space="preserve"> demand sites (except EDCM sites) in months where the half hourly metering data (active and reactive) shows consumption in excess of the Maximum Import Capacity figure (kVA) held in the DNO’s records.  Suppliers generally pass charges of this kind directly through to the customer.</w:t>
      </w:r>
    </w:p>
    <w:p w14:paraId="0FF03295" w14:textId="77777777" w:rsidR="00280ACD" w:rsidRDefault="00280ACD" w:rsidP="00280ACD">
      <w:pPr>
        <w:pStyle w:val="Heading2"/>
      </w:pPr>
      <w:r>
        <w:t>What is the impact?</w:t>
      </w:r>
    </w:p>
    <w:p w14:paraId="0CD1440A" w14:textId="77777777" w:rsidR="00280ACD" w:rsidRDefault="00280ACD" w:rsidP="00280ACD">
      <w:pPr>
        <w:pStyle w:val="Text"/>
        <w:numPr>
          <w:ilvl w:val="1"/>
          <w:numId w:val="3"/>
        </w:numPr>
      </w:pPr>
      <w:r>
        <w:t xml:space="preserve">The increase in exceeded capacity charges is </w:t>
      </w:r>
      <w:r w:rsidRPr="00DD3A99">
        <w:rPr>
          <w:b/>
        </w:rPr>
        <w:t xml:space="preserve">up to </w:t>
      </w:r>
      <w:r>
        <w:rPr>
          <w:b/>
        </w:rPr>
        <w:t>5 p/kVA/day (£18.25/kVA/year)</w:t>
      </w:r>
      <w:r>
        <w:t>.  The following</w:t>
      </w:r>
      <w:r w:rsidRPr="00D944ED">
        <w:t xml:space="preserve"> </w:t>
      </w:r>
      <w:r>
        <w:t>table summarises the data (14 DNO, three tariff categories).</w:t>
      </w:r>
    </w:p>
    <w:tbl>
      <w:tblPr>
        <w:tblStyle w:val="TableGrid"/>
        <w:tblW w:w="0" w:type="auto"/>
        <w:tblLook w:val="04A0" w:firstRow="1" w:lastRow="0" w:firstColumn="1" w:lastColumn="0" w:noHBand="0" w:noVBand="1"/>
      </w:tblPr>
      <w:tblGrid>
        <w:gridCol w:w="1847"/>
        <w:gridCol w:w="3600"/>
        <w:gridCol w:w="3600"/>
      </w:tblGrid>
      <w:tr w:rsidR="00280ACD" w14:paraId="74067660" w14:textId="77777777" w:rsidTr="001B1EFB">
        <w:tc>
          <w:tcPr>
            <w:tcW w:w="1847" w:type="dxa"/>
          </w:tcPr>
          <w:p w14:paraId="532BF92A" w14:textId="77777777" w:rsidR="00280ACD" w:rsidRDefault="00280ACD" w:rsidP="001B1EFB">
            <w:pPr>
              <w:pStyle w:val="Table"/>
            </w:pPr>
          </w:p>
        </w:tc>
        <w:tc>
          <w:tcPr>
            <w:tcW w:w="3600" w:type="dxa"/>
          </w:tcPr>
          <w:p w14:paraId="5902AFAD" w14:textId="77777777" w:rsidR="00280ACD" w:rsidRDefault="00280ACD" w:rsidP="001B1EFB">
            <w:pPr>
              <w:pStyle w:val="Table"/>
              <w:jc w:val="center"/>
            </w:pPr>
            <w:r>
              <w:t>Increase in exceeded capacity charge</w:t>
            </w:r>
          </w:p>
          <w:p w14:paraId="571A5D82" w14:textId="77777777" w:rsidR="00280ACD" w:rsidRDefault="00280ACD" w:rsidP="001B1EFB">
            <w:pPr>
              <w:pStyle w:val="Table"/>
              <w:jc w:val="center"/>
            </w:pPr>
            <w:r>
              <w:t>(</w:t>
            </w:r>
            <w:proofErr w:type="gramStart"/>
            <w:r>
              <w:t>p</w:t>
            </w:r>
            <w:proofErr w:type="gramEnd"/>
            <w:r>
              <w:t>/kVA/day)</w:t>
            </w:r>
          </w:p>
        </w:tc>
        <w:tc>
          <w:tcPr>
            <w:tcW w:w="3600" w:type="dxa"/>
          </w:tcPr>
          <w:p w14:paraId="29822004" w14:textId="77777777" w:rsidR="00280ACD" w:rsidRDefault="00280ACD" w:rsidP="001B1EFB">
            <w:pPr>
              <w:pStyle w:val="Table"/>
              <w:jc w:val="center"/>
            </w:pPr>
            <w:r>
              <w:t>Increase in exceeded capacity charge</w:t>
            </w:r>
          </w:p>
          <w:p w14:paraId="0013007D" w14:textId="77777777" w:rsidR="00280ACD" w:rsidRDefault="00280ACD" w:rsidP="001B1EFB">
            <w:pPr>
              <w:pStyle w:val="Table"/>
              <w:jc w:val="center"/>
            </w:pPr>
            <w:r>
              <w:t>(</w:t>
            </w:r>
            <w:proofErr w:type="gramStart"/>
            <w:r>
              <w:t>percentage</w:t>
            </w:r>
            <w:proofErr w:type="gramEnd"/>
            <w:r>
              <w:t>)</w:t>
            </w:r>
          </w:p>
        </w:tc>
      </w:tr>
      <w:tr w:rsidR="00280ACD" w14:paraId="5F8267CD" w14:textId="77777777" w:rsidTr="001B1EFB">
        <w:tc>
          <w:tcPr>
            <w:tcW w:w="1847" w:type="dxa"/>
          </w:tcPr>
          <w:p w14:paraId="36F83F35" w14:textId="77777777" w:rsidR="00280ACD" w:rsidRPr="00ED53D0" w:rsidRDefault="00280ACD" w:rsidP="001B1EFB">
            <w:pPr>
              <w:pStyle w:val="Table"/>
            </w:pPr>
            <w:r>
              <w:t>Minimum</w:t>
            </w:r>
          </w:p>
        </w:tc>
        <w:tc>
          <w:tcPr>
            <w:tcW w:w="3600" w:type="dxa"/>
          </w:tcPr>
          <w:p w14:paraId="6C9D9EF4" w14:textId="77777777" w:rsidR="00280ACD" w:rsidRDefault="00280ACD" w:rsidP="001B1EFB">
            <w:pPr>
              <w:pStyle w:val="Table"/>
              <w:tabs>
                <w:tab w:val="clear" w:pos="720"/>
                <w:tab w:val="decimal" w:pos="1753"/>
              </w:tabs>
            </w:pPr>
            <w:r>
              <w:t>0.68</w:t>
            </w:r>
          </w:p>
        </w:tc>
        <w:tc>
          <w:tcPr>
            <w:tcW w:w="3600" w:type="dxa"/>
          </w:tcPr>
          <w:p w14:paraId="75E7FA83" w14:textId="77777777" w:rsidR="00280ACD" w:rsidRDefault="00280ACD" w:rsidP="001B1EFB">
            <w:pPr>
              <w:pStyle w:val="Table"/>
              <w:tabs>
                <w:tab w:val="clear" w:pos="720"/>
                <w:tab w:val="decimal" w:pos="1753"/>
              </w:tabs>
            </w:pPr>
            <w:r>
              <w:t>14%</w:t>
            </w:r>
          </w:p>
        </w:tc>
      </w:tr>
      <w:tr w:rsidR="00280ACD" w14:paraId="5C113997" w14:textId="77777777" w:rsidTr="001B1EFB">
        <w:tc>
          <w:tcPr>
            <w:tcW w:w="1847" w:type="dxa"/>
          </w:tcPr>
          <w:p w14:paraId="28D51930" w14:textId="77777777" w:rsidR="00280ACD" w:rsidRDefault="00280ACD" w:rsidP="001B1EFB">
            <w:pPr>
              <w:pStyle w:val="Table"/>
            </w:pPr>
            <w:r>
              <w:t>Median</w:t>
            </w:r>
          </w:p>
        </w:tc>
        <w:tc>
          <w:tcPr>
            <w:tcW w:w="3600" w:type="dxa"/>
          </w:tcPr>
          <w:p w14:paraId="123407A1" w14:textId="77777777" w:rsidR="00280ACD" w:rsidRDefault="00280ACD" w:rsidP="001B1EFB">
            <w:pPr>
              <w:pStyle w:val="Table"/>
              <w:tabs>
                <w:tab w:val="clear" w:pos="720"/>
                <w:tab w:val="decimal" w:pos="1753"/>
              </w:tabs>
            </w:pPr>
            <w:r>
              <w:t>2.19</w:t>
            </w:r>
          </w:p>
        </w:tc>
        <w:tc>
          <w:tcPr>
            <w:tcW w:w="3600" w:type="dxa"/>
          </w:tcPr>
          <w:p w14:paraId="71156003" w14:textId="77777777" w:rsidR="00280ACD" w:rsidRDefault="00280ACD" w:rsidP="001B1EFB">
            <w:pPr>
              <w:pStyle w:val="Table"/>
              <w:tabs>
                <w:tab w:val="clear" w:pos="720"/>
                <w:tab w:val="decimal" w:pos="1753"/>
              </w:tabs>
            </w:pPr>
            <w:r>
              <w:t>75%</w:t>
            </w:r>
          </w:p>
        </w:tc>
      </w:tr>
      <w:tr w:rsidR="00280ACD" w14:paraId="785BEC5C" w14:textId="77777777" w:rsidTr="001B1EFB">
        <w:tc>
          <w:tcPr>
            <w:tcW w:w="1847" w:type="dxa"/>
          </w:tcPr>
          <w:p w14:paraId="1BDB4247" w14:textId="77777777" w:rsidR="00280ACD" w:rsidRDefault="00280ACD" w:rsidP="001B1EFB">
            <w:pPr>
              <w:pStyle w:val="Table"/>
            </w:pPr>
            <w:r>
              <w:t>Maximum</w:t>
            </w:r>
          </w:p>
        </w:tc>
        <w:tc>
          <w:tcPr>
            <w:tcW w:w="3600" w:type="dxa"/>
          </w:tcPr>
          <w:p w14:paraId="458A7143" w14:textId="77777777" w:rsidR="00280ACD" w:rsidRDefault="00280ACD" w:rsidP="001B1EFB">
            <w:pPr>
              <w:pStyle w:val="Table"/>
              <w:tabs>
                <w:tab w:val="clear" w:pos="720"/>
                <w:tab w:val="decimal" w:pos="1753"/>
              </w:tabs>
              <w:spacing w:before="80" w:after="80"/>
            </w:pPr>
            <w:r>
              <w:t>5.03</w:t>
            </w:r>
          </w:p>
        </w:tc>
        <w:tc>
          <w:tcPr>
            <w:tcW w:w="3600" w:type="dxa"/>
          </w:tcPr>
          <w:p w14:paraId="6B27FE84" w14:textId="77777777" w:rsidR="00280ACD" w:rsidRDefault="00280ACD" w:rsidP="001B1EFB">
            <w:pPr>
              <w:pStyle w:val="Table"/>
              <w:tabs>
                <w:tab w:val="clear" w:pos="720"/>
                <w:tab w:val="decimal" w:pos="1753"/>
              </w:tabs>
            </w:pPr>
            <w:r>
              <w:t>217%</w:t>
            </w:r>
          </w:p>
        </w:tc>
      </w:tr>
    </w:tbl>
    <w:p w14:paraId="79878087" w14:textId="69328543" w:rsidR="00280ACD" w:rsidRDefault="00C93266" w:rsidP="00C93266">
      <w:pPr>
        <w:pStyle w:val="Text"/>
        <w:keepLines/>
        <w:numPr>
          <w:ilvl w:val="1"/>
          <w:numId w:val="3"/>
        </w:numPr>
      </w:pPr>
      <w:r>
        <w:lastRenderedPageBreak/>
        <w:t>I estimate that t</w:t>
      </w:r>
      <w:r w:rsidR="00280ACD">
        <w:t xml:space="preserve">he increase in exceeded capacity charges would earn about </w:t>
      </w:r>
      <w:r w:rsidR="00280ACD" w:rsidRPr="00CD59B8">
        <w:rPr>
          <w:b/>
        </w:rPr>
        <w:t xml:space="preserve">£10 million </w:t>
      </w:r>
      <w:r w:rsidR="00280ACD">
        <w:t>more annual revenue for DNOs.  Other charges would fall so as to keep DNOs’ total revenue the same: about half of the £10 million would go to suppliers of domestic customers.</w:t>
      </w:r>
    </w:p>
    <w:p w14:paraId="5E5AA5AA" w14:textId="531D78BC" w:rsidR="00280ACD" w:rsidRPr="00654360" w:rsidRDefault="00280ACD" w:rsidP="00280ACD">
      <w:pPr>
        <w:pStyle w:val="Text"/>
        <w:numPr>
          <w:ilvl w:val="1"/>
          <w:numId w:val="3"/>
        </w:numPr>
      </w:pPr>
      <w:r>
        <w:t>Here is a specific example.  Take</w:t>
      </w:r>
      <w:r w:rsidRPr="00654360">
        <w:t xml:space="preserve"> a HV customer in Manchester (ENWL area) with a Maximum Import Capacity of 4,000 kVA and an average monthly maximum demand of 5,000 kVA.  The </w:t>
      </w:r>
      <w:r>
        <w:t xml:space="preserve">proposal </w:t>
      </w:r>
      <w:r w:rsidRPr="00A65744">
        <w:rPr>
          <w:b/>
        </w:rPr>
        <w:t>increases annual capacity charges by £12,</w:t>
      </w:r>
      <w:r>
        <w:rPr>
          <w:b/>
        </w:rPr>
        <w:t>994</w:t>
      </w:r>
      <w:r w:rsidRPr="00654360">
        <w:t>, from £55,845 to £68,</w:t>
      </w:r>
      <w:r>
        <w:t>839</w:t>
      </w:r>
      <w:r w:rsidRPr="00654360">
        <w:t>.</w:t>
      </w:r>
      <w:r w:rsidR="00636AB9">
        <w:t xml:space="preserve">  Appendix A</w:t>
      </w:r>
      <w:r>
        <w:t xml:space="preserve"> has examples in other parts of the country.</w:t>
      </w:r>
      <w:r w:rsidR="00B31B90">
        <w:t xml:space="preserve">  (My numbers differ slightly from those in the consultation document due to different assumptions — the industry has not released all the data underpinning its calculations.)</w:t>
      </w:r>
    </w:p>
    <w:p w14:paraId="569256E1" w14:textId="77777777" w:rsidR="00280ACD" w:rsidRDefault="00280ACD" w:rsidP="00280ACD">
      <w:pPr>
        <w:pStyle w:val="Text"/>
        <w:numPr>
          <w:ilvl w:val="1"/>
          <w:numId w:val="3"/>
        </w:numPr>
      </w:pPr>
      <w:r>
        <w:t>Exceeded capacity charges are in addition to the fixed, reactive and active unit rate elements of distribution charges, and to energy, transmission and other costs.</w:t>
      </w:r>
    </w:p>
    <w:p w14:paraId="471BD3B3" w14:textId="77777777" w:rsidR="00280ACD" w:rsidRDefault="00280ACD" w:rsidP="00280ACD">
      <w:pPr>
        <w:pStyle w:val="Heading2"/>
      </w:pPr>
      <w:r>
        <w:t>Why this change?</w:t>
      </w:r>
    </w:p>
    <w:p w14:paraId="27778C11" w14:textId="4DE8B171" w:rsidR="00280ACD" w:rsidRPr="00AD478C" w:rsidRDefault="00280ACD" w:rsidP="00280ACD">
      <w:pPr>
        <w:pStyle w:val="Text"/>
        <w:numPr>
          <w:ilvl w:val="1"/>
          <w:numId w:val="3"/>
        </w:numPr>
      </w:pPr>
      <w:r>
        <w:t>The proponents of this change are some of the DNOs.</w:t>
      </w:r>
      <w:r w:rsidR="002A49D0">
        <w:t xml:space="preserve">  </w:t>
      </w:r>
      <w:r>
        <w:t>They say</w:t>
      </w:r>
      <w:r w:rsidRPr="00AD478C">
        <w:t xml:space="preserve"> that the higher charge better reflects the costs of capacity on the network.  This is because the ordinary </w:t>
      </w:r>
      <w:r>
        <w:t>capacity charge</w:t>
      </w:r>
      <w:r w:rsidRPr="00AD478C">
        <w:t xml:space="preserve"> incorporates a discount to take account of the costs borne by custom</w:t>
      </w:r>
      <w:r>
        <w:t>ers through connection charges, and u</w:t>
      </w:r>
      <w:r w:rsidRPr="00AD478C">
        <w:t>nder the proposal this discount would no longer be applied for exceeded capacity charges.</w:t>
      </w:r>
    </w:p>
    <w:p w14:paraId="304524A5" w14:textId="00BCD500" w:rsidR="00280ACD" w:rsidRPr="00AD478C" w:rsidRDefault="00280ACD" w:rsidP="00280ACD">
      <w:pPr>
        <w:pStyle w:val="Text"/>
        <w:numPr>
          <w:ilvl w:val="1"/>
          <w:numId w:val="3"/>
        </w:numPr>
      </w:pPr>
      <w:r>
        <w:t xml:space="preserve">They also claim </w:t>
      </w:r>
      <w:r w:rsidRPr="00AD478C">
        <w:t xml:space="preserve">that the increase will improve incentives on customers to manage their capacity and reduce </w:t>
      </w:r>
      <w:r w:rsidR="002A49D0">
        <w:t xml:space="preserve">an </w:t>
      </w:r>
      <w:r w:rsidRPr="00AD478C">
        <w:t xml:space="preserve">incentive to avoid contracting for </w:t>
      </w:r>
      <w:r w:rsidR="002A49D0">
        <w:t xml:space="preserve">required </w:t>
      </w:r>
      <w:r w:rsidRPr="00AD478C">
        <w:t>capacity.</w:t>
      </w:r>
    </w:p>
    <w:p w14:paraId="679B97D2" w14:textId="77777777" w:rsidR="00280ACD" w:rsidRDefault="00280ACD" w:rsidP="00280ACD">
      <w:pPr>
        <w:pStyle w:val="Heading2"/>
      </w:pPr>
      <w:r>
        <w:t>Who will decide whether the change happens?</w:t>
      </w:r>
    </w:p>
    <w:p w14:paraId="571C30E0" w14:textId="0F973F8B" w:rsidR="00280ACD" w:rsidRDefault="00280ACD" w:rsidP="00280ACD">
      <w:pPr>
        <w:pStyle w:val="Text"/>
        <w:numPr>
          <w:ilvl w:val="1"/>
          <w:numId w:val="3"/>
        </w:numPr>
      </w:pPr>
      <w:r>
        <w:t>The proposed change is under DCUSA, a governance regime overseen by Ofgem</w:t>
      </w:r>
      <w:r w:rsidR="00C93266">
        <w:t>.</w:t>
      </w:r>
    </w:p>
    <w:p w14:paraId="6F8BD631" w14:textId="3B5CDAF6" w:rsidR="00280ACD" w:rsidRDefault="00280ACD" w:rsidP="00280ACD">
      <w:pPr>
        <w:pStyle w:val="Text"/>
        <w:numPr>
          <w:ilvl w:val="1"/>
          <w:numId w:val="3"/>
        </w:numPr>
      </w:pPr>
      <w:r>
        <w:t>This change will only be m</w:t>
      </w:r>
      <w:r w:rsidR="004D48F8">
        <w:t>ade if Ofgem approves it.  T</w:t>
      </w:r>
      <w:r>
        <w:t>here is a risk that Ofgem may rely on the DCUSA consultation responses as a complete record of concerns, and take a decision without any further consultation.  If there are no or few customer responses to the DCUSA consultation, then the change may go through by default.</w:t>
      </w:r>
    </w:p>
    <w:p w14:paraId="300C1A61" w14:textId="77777777" w:rsidR="002A49D0" w:rsidRDefault="002A49D0" w:rsidP="002A49D0">
      <w:pPr>
        <w:pStyle w:val="Heading2"/>
      </w:pPr>
      <w:r>
        <w:t>For more information about this alert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4320"/>
      </w:tblGrid>
      <w:tr w:rsidR="002A49D0" w14:paraId="36BBC6AC" w14:textId="77777777" w:rsidTr="009C3052">
        <w:tc>
          <w:tcPr>
            <w:tcW w:w="2520" w:type="dxa"/>
          </w:tcPr>
          <w:p w14:paraId="5B5CCD0F" w14:textId="77777777" w:rsidR="002A49D0" w:rsidRDefault="002A49D0" w:rsidP="009C3052">
            <w:pPr>
              <w:pStyle w:val="Table"/>
              <w:jc w:val="center"/>
            </w:pPr>
            <w:r w:rsidRPr="00364B9A">
              <w:rPr>
                <w:noProof/>
                <w:lang w:val="en-US" w:bidi="ar-SA"/>
              </w:rPr>
              <w:drawing>
                <wp:inline distT="0" distB="0" distL="0" distR="0" wp14:anchorId="61627861" wp14:editId="19B11E4C">
                  <wp:extent cx="1092200" cy="1092200"/>
                  <wp:effectExtent l="0" t="0" r="0" b="0"/>
                  <wp:docPr id="12" name="Picture 12" descr="Macintosh HD:Users:franck:Documents:Today:Marketing:360x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ck:Documents:Today:Marketing:360x36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a:ln>
                            <a:noFill/>
                          </a:ln>
                          <a:extLst>
                            <a:ext uri="{FAA26D3D-D897-4be2-8F04-BA451C77F1D7}">
                              <ma14:placeholderFlag xmlns:ma14="http://schemas.microsoft.com/office/mac/drawingml/2011/main"/>
                            </a:ext>
                          </a:extLst>
                        </pic:spPr>
                      </pic:pic>
                    </a:graphicData>
                  </a:graphic>
                </wp:inline>
              </w:drawing>
            </w:r>
          </w:p>
        </w:tc>
        <w:tc>
          <w:tcPr>
            <w:tcW w:w="4320" w:type="dxa"/>
          </w:tcPr>
          <w:p w14:paraId="12339FC7" w14:textId="77777777" w:rsidR="002A49D0" w:rsidRDefault="002A49D0" w:rsidP="009C3052">
            <w:pPr>
              <w:pStyle w:val="Table"/>
              <w:rPr>
                <w:b/>
              </w:rPr>
            </w:pPr>
            <w:r w:rsidRPr="00E70261">
              <w:rPr>
                <w:b/>
              </w:rPr>
              <w:t>Franck Latrémolière</w:t>
            </w:r>
          </w:p>
          <w:p w14:paraId="61855B46" w14:textId="77777777" w:rsidR="002A49D0" w:rsidRDefault="002A49D0" w:rsidP="009C3052">
            <w:pPr>
              <w:pStyle w:val="Table"/>
              <w:rPr>
                <w:b/>
              </w:rPr>
            </w:pPr>
            <w:r w:rsidRPr="00E70261">
              <w:rPr>
                <w:b/>
              </w:rPr>
              <w:t>Reckon LLP</w:t>
            </w:r>
          </w:p>
          <w:p w14:paraId="540B7F4B" w14:textId="77777777" w:rsidR="002A49D0" w:rsidRPr="00E70261" w:rsidRDefault="002A49D0" w:rsidP="009C3052">
            <w:pPr>
              <w:pStyle w:val="Table"/>
              <w:rPr>
                <w:b/>
              </w:rPr>
            </w:pPr>
          </w:p>
          <w:p w14:paraId="581F4B8B" w14:textId="77777777" w:rsidR="002A49D0" w:rsidRDefault="002A49D0" w:rsidP="009C3052">
            <w:pPr>
              <w:pStyle w:val="Table"/>
              <w:rPr>
                <w:b/>
              </w:rPr>
            </w:pPr>
            <w:r w:rsidRPr="00E70261">
              <w:rPr>
                <w:b/>
              </w:rPr>
              <w:t>Telephone: 020 7841 5858</w:t>
            </w:r>
          </w:p>
          <w:p w14:paraId="43A1F188" w14:textId="77777777" w:rsidR="002A49D0" w:rsidRPr="00E871CE" w:rsidRDefault="002A49D0" w:rsidP="009C3052">
            <w:pPr>
              <w:pStyle w:val="Table"/>
              <w:rPr>
                <w:b/>
              </w:rPr>
            </w:pPr>
            <w:r w:rsidRPr="00E70261">
              <w:rPr>
                <w:b/>
              </w:rPr>
              <w:t xml:space="preserve">Email: </w:t>
            </w:r>
            <w:hyperlink r:id="rId12" w:history="1">
              <w:r w:rsidRPr="00E70261">
                <w:rPr>
                  <w:rStyle w:val="Hyperlink"/>
                  <w:b/>
                </w:rPr>
                <w:t>f20@reckon.co.uk</w:t>
              </w:r>
            </w:hyperlink>
          </w:p>
        </w:tc>
      </w:tr>
    </w:tbl>
    <w:p w14:paraId="5CC18D46" w14:textId="77777777" w:rsidR="002A49D0" w:rsidRDefault="002A49D0" w:rsidP="002A49D0">
      <w:pPr>
        <w:spacing w:after="0"/>
        <w:jc w:val="left"/>
      </w:pPr>
    </w:p>
    <w:p w14:paraId="085599A3" w14:textId="77777777" w:rsidR="002A49D0" w:rsidRPr="00E53CA7" w:rsidRDefault="002A49D0" w:rsidP="002A49D0">
      <w:pPr>
        <w:pStyle w:val="Text"/>
        <w:numPr>
          <w:ilvl w:val="1"/>
          <w:numId w:val="3"/>
        </w:numPr>
      </w:pPr>
      <w:r>
        <w:t xml:space="preserve">There is nothing confidential in this alert.  Feel free to pass it on to others who might be interested or to include it with any consultation response you make.  Microsoft Word and PDF versions of this alert, and of any further updates on this topic or other areas of interest to electricity customers, can be found at </w:t>
      </w:r>
      <w:r w:rsidRPr="00E53CA7">
        <w:rPr>
          <w:b/>
        </w:rPr>
        <w:t>http://dcmf.co.uk/alerts</w:t>
      </w:r>
      <w:r>
        <w:t>.</w:t>
      </w:r>
    </w:p>
    <w:p w14:paraId="047F455E" w14:textId="4149D4D8" w:rsidR="00280ACD" w:rsidRDefault="002A49D0" w:rsidP="00C93266">
      <w:pPr>
        <w:pStyle w:val="Heading2"/>
        <w:pageBreakBefore/>
      </w:pPr>
      <w:r>
        <w:lastRenderedPageBreak/>
        <w:t>Appendix A —</w:t>
      </w:r>
      <w:r w:rsidR="00280ACD">
        <w:t xml:space="preserve"> Differences in </w:t>
      </w:r>
      <w:r w:rsidR="00BD0346">
        <w:t>exceeded capacity charge</w:t>
      </w:r>
      <w:r w:rsidR="00280ACD">
        <w:t xml:space="preserve"> increases between DNO areas</w:t>
      </w:r>
    </w:p>
    <w:p w14:paraId="2194E6EA" w14:textId="2DCB150C" w:rsidR="00280ACD" w:rsidRDefault="00280ACD" w:rsidP="00280ACD">
      <w:pPr>
        <w:pStyle w:val="Text"/>
        <w:numPr>
          <w:ilvl w:val="1"/>
          <w:numId w:val="3"/>
        </w:numPr>
      </w:pPr>
      <w:r>
        <w:t>The following table shows, for each DNO area,</w:t>
      </w:r>
      <w:r w:rsidR="00C93266">
        <w:t xml:space="preserve"> my estimates of </w:t>
      </w:r>
      <w:r w:rsidR="004D48F8">
        <w:t>the</w:t>
      </w:r>
      <w:r>
        <w:t xml:space="preserve"> annual capacity charges with and without DCP 161 for a high-voltage (HV) customer </w:t>
      </w:r>
      <w:r w:rsidRPr="00654360">
        <w:t>with a Maximum Import Capacity of 4,000 kVA and an average monthly maximum demand of 5,000 kVA</w:t>
      </w:r>
      <w:r>
        <w:t xml:space="preserve"> (i.e. the average exceeded capacity is 1,000 kVA).</w:t>
      </w:r>
    </w:p>
    <w:tbl>
      <w:tblPr>
        <w:tblStyle w:val="TableGrid"/>
        <w:tblW w:w="9425" w:type="dxa"/>
        <w:tblLayout w:type="fixed"/>
        <w:tblLook w:val="04A0" w:firstRow="1" w:lastRow="0" w:firstColumn="1" w:lastColumn="0" w:noHBand="0" w:noVBand="1"/>
      </w:tblPr>
      <w:tblGrid>
        <w:gridCol w:w="1728"/>
        <w:gridCol w:w="1539"/>
        <w:gridCol w:w="1539"/>
        <w:gridCol w:w="1539"/>
        <w:gridCol w:w="1540"/>
        <w:gridCol w:w="1540"/>
      </w:tblGrid>
      <w:tr w:rsidR="00280ACD" w:rsidRPr="00B80214" w14:paraId="1E8287BD" w14:textId="77777777" w:rsidTr="001B1EFB">
        <w:tc>
          <w:tcPr>
            <w:tcW w:w="1728" w:type="dxa"/>
          </w:tcPr>
          <w:p w14:paraId="686B6896" w14:textId="77777777" w:rsidR="00280ACD" w:rsidRPr="00B80214" w:rsidRDefault="00280ACD" w:rsidP="001B1EFB">
            <w:pPr>
              <w:pStyle w:val="Table"/>
              <w:jc w:val="center"/>
            </w:pPr>
          </w:p>
        </w:tc>
        <w:tc>
          <w:tcPr>
            <w:tcW w:w="1539" w:type="dxa"/>
          </w:tcPr>
          <w:p w14:paraId="7B982A90" w14:textId="002D1B0F" w:rsidR="00280ACD" w:rsidRPr="00B80214" w:rsidRDefault="00280ACD" w:rsidP="001B1EFB">
            <w:pPr>
              <w:pStyle w:val="Table"/>
              <w:jc w:val="center"/>
            </w:pPr>
            <w:r w:rsidRPr="00B80214">
              <w:t xml:space="preserve">Current </w:t>
            </w:r>
            <w:r w:rsidR="00125EA9" w:rsidRPr="00B80214">
              <w:t xml:space="preserve">exceeded </w:t>
            </w:r>
            <w:r w:rsidRPr="00B80214">
              <w:t>capacity charge</w:t>
            </w:r>
          </w:p>
          <w:p w14:paraId="17A5E1FB" w14:textId="77777777" w:rsidR="00280ACD" w:rsidRPr="00B80214" w:rsidRDefault="00280ACD" w:rsidP="001B1EFB">
            <w:pPr>
              <w:pStyle w:val="Table"/>
              <w:jc w:val="center"/>
            </w:pPr>
            <w:proofErr w:type="gramStart"/>
            <w:r w:rsidRPr="00B80214">
              <w:t>p</w:t>
            </w:r>
            <w:proofErr w:type="gramEnd"/>
            <w:r w:rsidRPr="00B80214">
              <w:t>/kVA/day</w:t>
            </w:r>
          </w:p>
        </w:tc>
        <w:tc>
          <w:tcPr>
            <w:tcW w:w="1539" w:type="dxa"/>
          </w:tcPr>
          <w:p w14:paraId="51DB23D6" w14:textId="77777777" w:rsidR="00280ACD" w:rsidRPr="00B80214" w:rsidRDefault="00280ACD" w:rsidP="001B1EFB">
            <w:pPr>
              <w:pStyle w:val="Table"/>
              <w:jc w:val="center"/>
            </w:pPr>
            <w:r w:rsidRPr="00B80214">
              <w:t xml:space="preserve">Increased exceeded capacity charge </w:t>
            </w:r>
          </w:p>
          <w:p w14:paraId="5EFAB7C9" w14:textId="77777777" w:rsidR="00280ACD" w:rsidRPr="00B80214" w:rsidRDefault="00280ACD" w:rsidP="001B1EFB">
            <w:pPr>
              <w:pStyle w:val="Table"/>
              <w:jc w:val="center"/>
            </w:pPr>
            <w:proofErr w:type="gramStart"/>
            <w:r w:rsidRPr="00B80214">
              <w:t>p</w:t>
            </w:r>
            <w:proofErr w:type="gramEnd"/>
            <w:r w:rsidRPr="00B80214">
              <w:t>/kVA/day</w:t>
            </w:r>
          </w:p>
        </w:tc>
        <w:tc>
          <w:tcPr>
            <w:tcW w:w="1539" w:type="dxa"/>
          </w:tcPr>
          <w:p w14:paraId="53697B33" w14:textId="77777777" w:rsidR="00280ACD" w:rsidRPr="00B80214" w:rsidRDefault="00280ACD" w:rsidP="001B1EFB">
            <w:pPr>
              <w:pStyle w:val="Table"/>
              <w:jc w:val="center"/>
            </w:pPr>
            <w:r w:rsidRPr="00B80214">
              <w:t>Illustrative capacity charges before the change</w:t>
            </w:r>
          </w:p>
          <w:p w14:paraId="10A843EC" w14:textId="77777777" w:rsidR="00280ACD" w:rsidRPr="00B80214" w:rsidRDefault="00280ACD" w:rsidP="001B1EFB">
            <w:pPr>
              <w:pStyle w:val="Table"/>
              <w:jc w:val="center"/>
            </w:pPr>
            <w:r w:rsidRPr="00B80214">
              <w:t>£/year</w:t>
            </w:r>
          </w:p>
        </w:tc>
        <w:tc>
          <w:tcPr>
            <w:tcW w:w="1540" w:type="dxa"/>
          </w:tcPr>
          <w:p w14:paraId="224279E5" w14:textId="77777777" w:rsidR="00280ACD" w:rsidRPr="00B80214" w:rsidRDefault="00280ACD" w:rsidP="001B1EFB">
            <w:pPr>
              <w:pStyle w:val="Table"/>
              <w:jc w:val="center"/>
            </w:pPr>
            <w:r w:rsidRPr="00B80214">
              <w:t>Illustrative capacity charges after the change</w:t>
            </w:r>
          </w:p>
          <w:p w14:paraId="6B4B12C4" w14:textId="77777777" w:rsidR="00280ACD" w:rsidRPr="00B80214" w:rsidRDefault="00280ACD" w:rsidP="001B1EFB">
            <w:pPr>
              <w:pStyle w:val="Table"/>
              <w:jc w:val="center"/>
            </w:pPr>
            <w:r w:rsidRPr="00B80214">
              <w:t>£/year</w:t>
            </w:r>
          </w:p>
        </w:tc>
        <w:tc>
          <w:tcPr>
            <w:tcW w:w="1540" w:type="dxa"/>
          </w:tcPr>
          <w:p w14:paraId="3A1BDB78" w14:textId="77777777" w:rsidR="00280ACD" w:rsidRPr="001A76F5" w:rsidRDefault="00280ACD" w:rsidP="001B1EFB">
            <w:pPr>
              <w:pStyle w:val="Table"/>
              <w:jc w:val="center"/>
            </w:pPr>
            <w:r w:rsidRPr="001A76F5">
              <w:t>Illustrative cost of the change</w:t>
            </w:r>
            <w:r w:rsidRPr="001A76F5">
              <w:br/>
              <w:t xml:space="preserve"> </w:t>
            </w:r>
          </w:p>
          <w:p w14:paraId="59BF6495" w14:textId="77777777" w:rsidR="00280ACD" w:rsidRPr="001A76F5" w:rsidRDefault="00280ACD" w:rsidP="001B1EFB">
            <w:pPr>
              <w:pStyle w:val="Table"/>
              <w:jc w:val="center"/>
            </w:pPr>
            <w:r w:rsidRPr="001A76F5">
              <w:t>£/year</w:t>
            </w:r>
          </w:p>
        </w:tc>
      </w:tr>
      <w:tr w:rsidR="00280ACD" w14:paraId="687761D4" w14:textId="77777777" w:rsidTr="001B1EFB">
        <w:tc>
          <w:tcPr>
            <w:tcW w:w="1728" w:type="dxa"/>
          </w:tcPr>
          <w:p w14:paraId="109E2ED0" w14:textId="77777777" w:rsidR="00280ACD" w:rsidRDefault="00280ACD" w:rsidP="001B1EFB">
            <w:pPr>
              <w:pStyle w:val="Table"/>
            </w:pPr>
            <w:r>
              <w:t>ENWL</w:t>
            </w:r>
          </w:p>
        </w:tc>
        <w:tc>
          <w:tcPr>
            <w:tcW w:w="1539" w:type="dxa"/>
            <w:vAlign w:val="center"/>
          </w:tcPr>
          <w:p w14:paraId="1F768A2D" w14:textId="77777777" w:rsidR="00280ACD" w:rsidRDefault="00280ACD" w:rsidP="001B1EFB">
            <w:pPr>
              <w:pStyle w:val="Table"/>
              <w:tabs>
                <w:tab w:val="clear" w:pos="720"/>
                <w:tab w:val="decimal" w:pos="432"/>
              </w:tabs>
              <w:ind w:right="288"/>
              <w:jc w:val="right"/>
            </w:pPr>
            <w:r w:rsidRPr="00961F54">
              <w:t xml:space="preserve"> 3.06 </w:t>
            </w:r>
          </w:p>
        </w:tc>
        <w:tc>
          <w:tcPr>
            <w:tcW w:w="1539" w:type="dxa"/>
            <w:vAlign w:val="center"/>
          </w:tcPr>
          <w:p w14:paraId="219FA50F" w14:textId="77777777" w:rsidR="00280ACD" w:rsidRDefault="00280ACD" w:rsidP="001B1EFB">
            <w:pPr>
              <w:pStyle w:val="Table"/>
              <w:tabs>
                <w:tab w:val="clear" w:pos="720"/>
                <w:tab w:val="decimal" w:pos="432"/>
              </w:tabs>
              <w:ind w:right="288"/>
              <w:jc w:val="right"/>
            </w:pPr>
            <w:r w:rsidRPr="00961F54">
              <w:t xml:space="preserve"> 6.58 </w:t>
            </w:r>
          </w:p>
        </w:tc>
        <w:tc>
          <w:tcPr>
            <w:tcW w:w="1539" w:type="dxa"/>
            <w:vAlign w:val="bottom"/>
          </w:tcPr>
          <w:p w14:paraId="048BF995" w14:textId="77777777" w:rsidR="00280ACD" w:rsidRDefault="00280ACD" w:rsidP="001B1EFB">
            <w:pPr>
              <w:pStyle w:val="Table"/>
              <w:tabs>
                <w:tab w:val="clear" w:pos="720"/>
                <w:tab w:val="decimal" w:pos="432"/>
              </w:tabs>
              <w:ind w:right="288"/>
              <w:jc w:val="right"/>
            </w:pPr>
            <w:r w:rsidRPr="00961F54">
              <w:t xml:space="preserve"> 55,845 </w:t>
            </w:r>
          </w:p>
        </w:tc>
        <w:tc>
          <w:tcPr>
            <w:tcW w:w="1540" w:type="dxa"/>
            <w:vAlign w:val="bottom"/>
          </w:tcPr>
          <w:p w14:paraId="08F28766" w14:textId="77777777" w:rsidR="00280ACD" w:rsidRDefault="00280ACD" w:rsidP="001B1EFB">
            <w:pPr>
              <w:pStyle w:val="Table"/>
              <w:tabs>
                <w:tab w:val="clear" w:pos="720"/>
                <w:tab w:val="decimal" w:pos="432"/>
              </w:tabs>
              <w:ind w:right="288"/>
              <w:jc w:val="right"/>
            </w:pPr>
            <w:r w:rsidRPr="00961F54">
              <w:t xml:space="preserve"> 68,839 </w:t>
            </w:r>
          </w:p>
        </w:tc>
        <w:tc>
          <w:tcPr>
            <w:tcW w:w="1540" w:type="dxa"/>
            <w:vAlign w:val="bottom"/>
          </w:tcPr>
          <w:p w14:paraId="5B41055B" w14:textId="77777777" w:rsidR="00280ACD" w:rsidRPr="001A76F5" w:rsidRDefault="00280ACD" w:rsidP="001B1EFB">
            <w:pPr>
              <w:pStyle w:val="Table"/>
              <w:tabs>
                <w:tab w:val="clear" w:pos="720"/>
                <w:tab w:val="decimal" w:pos="432"/>
              </w:tabs>
              <w:ind w:right="288"/>
              <w:jc w:val="right"/>
            </w:pPr>
            <w:r w:rsidRPr="001A76F5">
              <w:t xml:space="preserve"> 12,994 </w:t>
            </w:r>
          </w:p>
        </w:tc>
      </w:tr>
      <w:tr w:rsidR="00280ACD" w14:paraId="7253A2B5" w14:textId="77777777" w:rsidTr="001B1EFB">
        <w:tc>
          <w:tcPr>
            <w:tcW w:w="1728" w:type="dxa"/>
          </w:tcPr>
          <w:p w14:paraId="46F0DFD3" w14:textId="77777777" w:rsidR="00280ACD" w:rsidRDefault="00280ACD" w:rsidP="001B1EFB">
            <w:pPr>
              <w:pStyle w:val="Table"/>
            </w:pPr>
            <w:r>
              <w:t>NPG Northeast</w:t>
            </w:r>
          </w:p>
        </w:tc>
        <w:tc>
          <w:tcPr>
            <w:tcW w:w="1539" w:type="dxa"/>
            <w:vAlign w:val="center"/>
          </w:tcPr>
          <w:p w14:paraId="21C78B61" w14:textId="77777777" w:rsidR="00280ACD" w:rsidRDefault="00280ACD" w:rsidP="001B1EFB">
            <w:pPr>
              <w:pStyle w:val="Table"/>
              <w:tabs>
                <w:tab w:val="clear" w:pos="720"/>
                <w:tab w:val="decimal" w:pos="432"/>
              </w:tabs>
              <w:ind w:right="288"/>
              <w:jc w:val="right"/>
            </w:pPr>
            <w:r w:rsidRPr="00961F54">
              <w:t xml:space="preserve"> 1.87 </w:t>
            </w:r>
          </w:p>
        </w:tc>
        <w:tc>
          <w:tcPr>
            <w:tcW w:w="1539" w:type="dxa"/>
            <w:vAlign w:val="center"/>
          </w:tcPr>
          <w:p w14:paraId="7F3AC706" w14:textId="77777777" w:rsidR="00280ACD" w:rsidRDefault="00280ACD" w:rsidP="001B1EFB">
            <w:pPr>
              <w:pStyle w:val="Table"/>
              <w:tabs>
                <w:tab w:val="clear" w:pos="720"/>
                <w:tab w:val="decimal" w:pos="432"/>
              </w:tabs>
              <w:ind w:right="288"/>
              <w:jc w:val="right"/>
            </w:pPr>
            <w:r w:rsidRPr="00961F54">
              <w:t xml:space="preserve"> 3.79 </w:t>
            </w:r>
          </w:p>
        </w:tc>
        <w:tc>
          <w:tcPr>
            <w:tcW w:w="1539" w:type="dxa"/>
            <w:vAlign w:val="bottom"/>
          </w:tcPr>
          <w:p w14:paraId="0CF239A1" w14:textId="77777777" w:rsidR="00280ACD" w:rsidRDefault="00280ACD" w:rsidP="001B1EFB">
            <w:pPr>
              <w:pStyle w:val="Table"/>
              <w:tabs>
                <w:tab w:val="clear" w:pos="720"/>
                <w:tab w:val="decimal" w:pos="432"/>
              </w:tabs>
              <w:ind w:right="288"/>
              <w:jc w:val="right"/>
            </w:pPr>
            <w:r w:rsidRPr="00961F54">
              <w:t xml:space="preserve"> 34,128 </w:t>
            </w:r>
          </w:p>
        </w:tc>
        <w:tc>
          <w:tcPr>
            <w:tcW w:w="1540" w:type="dxa"/>
            <w:vAlign w:val="bottom"/>
          </w:tcPr>
          <w:p w14:paraId="4399801F" w14:textId="77777777" w:rsidR="00280ACD" w:rsidRDefault="00280ACD" w:rsidP="001B1EFB">
            <w:pPr>
              <w:pStyle w:val="Table"/>
              <w:tabs>
                <w:tab w:val="clear" w:pos="720"/>
                <w:tab w:val="decimal" w:pos="432"/>
              </w:tabs>
              <w:ind w:right="288"/>
              <w:jc w:val="right"/>
            </w:pPr>
            <w:r w:rsidRPr="00961F54">
              <w:t xml:space="preserve"> 41,282 </w:t>
            </w:r>
          </w:p>
        </w:tc>
        <w:tc>
          <w:tcPr>
            <w:tcW w:w="1540" w:type="dxa"/>
            <w:vAlign w:val="bottom"/>
          </w:tcPr>
          <w:p w14:paraId="72D50CA9" w14:textId="77777777" w:rsidR="00280ACD" w:rsidRPr="001A76F5" w:rsidRDefault="00280ACD" w:rsidP="001B1EFB">
            <w:pPr>
              <w:pStyle w:val="Table"/>
              <w:tabs>
                <w:tab w:val="clear" w:pos="720"/>
                <w:tab w:val="decimal" w:pos="432"/>
              </w:tabs>
              <w:ind w:right="288"/>
              <w:jc w:val="right"/>
            </w:pPr>
            <w:r w:rsidRPr="001A76F5">
              <w:t xml:space="preserve"> 7,154 </w:t>
            </w:r>
          </w:p>
        </w:tc>
      </w:tr>
      <w:tr w:rsidR="00280ACD" w14:paraId="3070A03F" w14:textId="77777777" w:rsidTr="001B1EFB">
        <w:tc>
          <w:tcPr>
            <w:tcW w:w="1728" w:type="dxa"/>
          </w:tcPr>
          <w:p w14:paraId="0D95E894" w14:textId="77777777" w:rsidR="00280ACD" w:rsidRDefault="00280ACD" w:rsidP="001B1EFB">
            <w:pPr>
              <w:pStyle w:val="Table"/>
            </w:pPr>
            <w:r>
              <w:t>NPG Yorkshire</w:t>
            </w:r>
          </w:p>
        </w:tc>
        <w:tc>
          <w:tcPr>
            <w:tcW w:w="1539" w:type="dxa"/>
            <w:vAlign w:val="center"/>
          </w:tcPr>
          <w:p w14:paraId="4B081BC1" w14:textId="77777777" w:rsidR="00280ACD" w:rsidRDefault="00280ACD" w:rsidP="001B1EFB">
            <w:pPr>
              <w:pStyle w:val="Table"/>
              <w:tabs>
                <w:tab w:val="clear" w:pos="720"/>
                <w:tab w:val="decimal" w:pos="432"/>
              </w:tabs>
              <w:ind w:right="288"/>
              <w:jc w:val="right"/>
            </w:pPr>
            <w:r w:rsidRPr="00961F54">
              <w:t xml:space="preserve"> 1.81 </w:t>
            </w:r>
          </w:p>
        </w:tc>
        <w:tc>
          <w:tcPr>
            <w:tcW w:w="1539" w:type="dxa"/>
            <w:vAlign w:val="center"/>
          </w:tcPr>
          <w:p w14:paraId="111D987A" w14:textId="77777777" w:rsidR="00280ACD" w:rsidRDefault="00280ACD" w:rsidP="001B1EFB">
            <w:pPr>
              <w:pStyle w:val="Table"/>
              <w:tabs>
                <w:tab w:val="clear" w:pos="720"/>
                <w:tab w:val="decimal" w:pos="432"/>
              </w:tabs>
              <w:ind w:right="288"/>
              <w:jc w:val="right"/>
            </w:pPr>
            <w:r w:rsidRPr="00961F54">
              <w:t xml:space="preserve"> 3.57 </w:t>
            </w:r>
          </w:p>
        </w:tc>
        <w:tc>
          <w:tcPr>
            <w:tcW w:w="1539" w:type="dxa"/>
            <w:vAlign w:val="bottom"/>
          </w:tcPr>
          <w:p w14:paraId="376F403C" w14:textId="77777777" w:rsidR="00280ACD" w:rsidRDefault="00280ACD" w:rsidP="001B1EFB">
            <w:pPr>
              <w:pStyle w:val="Table"/>
              <w:tabs>
                <w:tab w:val="clear" w:pos="720"/>
                <w:tab w:val="decimal" w:pos="432"/>
              </w:tabs>
              <w:ind w:right="288"/>
              <w:jc w:val="right"/>
            </w:pPr>
            <w:r w:rsidRPr="00961F54">
              <w:t xml:space="preserve"> 33,033 </w:t>
            </w:r>
          </w:p>
        </w:tc>
        <w:tc>
          <w:tcPr>
            <w:tcW w:w="1540" w:type="dxa"/>
            <w:vAlign w:val="bottom"/>
          </w:tcPr>
          <w:p w14:paraId="42001550" w14:textId="77777777" w:rsidR="00280ACD" w:rsidRDefault="00280ACD" w:rsidP="001B1EFB">
            <w:pPr>
              <w:pStyle w:val="Table"/>
              <w:tabs>
                <w:tab w:val="clear" w:pos="720"/>
                <w:tab w:val="decimal" w:pos="432"/>
              </w:tabs>
              <w:ind w:right="288"/>
              <w:jc w:val="right"/>
            </w:pPr>
            <w:r w:rsidRPr="00961F54">
              <w:t xml:space="preserve"> 39,457 </w:t>
            </w:r>
          </w:p>
        </w:tc>
        <w:tc>
          <w:tcPr>
            <w:tcW w:w="1540" w:type="dxa"/>
            <w:vAlign w:val="bottom"/>
          </w:tcPr>
          <w:p w14:paraId="183E7DE6" w14:textId="77777777" w:rsidR="00280ACD" w:rsidRPr="001A76F5" w:rsidRDefault="00280ACD" w:rsidP="001B1EFB">
            <w:pPr>
              <w:pStyle w:val="Table"/>
              <w:tabs>
                <w:tab w:val="clear" w:pos="720"/>
                <w:tab w:val="decimal" w:pos="432"/>
              </w:tabs>
              <w:ind w:right="288"/>
              <w:jc w:val="right"/>
            </w:pPr>
            <w:r w:rsidRPr="001A76F5">
              <w:t xml:space="preserve"> 6,424 </w:t>
            </w:r>
          </w:p>
        </w:tc>
      </w:tr>
      <w:tr w:rsidR="00280ACD" w14:paraId="27D8C467" w14:textId="77777777" w:rsidTr="001B1EFB">
        <w:tc>
          <w:tcPr>
            <w:tcW w:w="1728" w:type="dxa"/>
          </w:tcPr>
          <w:p w14:paraId="6BC0537F" w14:textId="77777777" w:rsidR="00280ACD" w:rsidRDefault="00280ACD" w:rsidP="001B1EFB">
            <w:pPr>
              <w:pStyle w:val="Table"/>
            </w:pPr>
            <w:r>
              <w:t>SPEN SPD</w:t>
            </w:r>
          </w:p>
        </w:tc>
        <w:tc>
          <w:tcPr>
            <w:tcW w:w="1539" w:type="dxa"/>
            <w:vAlign w:val="center"/>
          </w:tcPr>
          <w:p w14:paraId="4C501B55" w14:textId="77777777" w:rsidR="00280ACD" w:rsidRDefault="00280ACD" w:rsidP="001B1EFB">
            <w:pPr>
              <w:pStyle w:val="Table"/>
              <w:tabs>
                <w:tab w:val="clear" w:pos="720"/>
                <w:tab w:val="decimal" w:pos="432"/>
              </w:tabs>
              <w:ind w:right="288"/>
              <w:jc w:val="right"/>
            </w:pPr>
            <w:r w:rsidRPr="00961F54">
              <w:t xml:space="preserve"> 4.86 </w:t>
            </w:r>
          </w:p>
        </w:tc>
        <w:tc>
          <w:tcPr>
            <w:tcW w:w="1539" w:type="dxa"/>
            <w:vAlign w:val="center"/>
          </w:tcPr>
          <w:p w14:paraId="383570CF" w14:textId="77777777" w:rsidR="00280ACD" w:rsidRDefault="00280ACD" w:rsidP="001B1EFB">
            <w:pPr>
              <w:pStyle w:val="Table"/>
              <w:tabs>
                <w:tab w:val="clear" w:pos="720"/>
                <w:tab w:val="decimal" w:pos="432"/>
              </w:tabs>
              <w:ind w:right="288"/>
              <w:jc w:val="right"/>
            </w:pPr>
            <w:r w:rsidRPr="00961F54">
              <w:t xml:space="preserve"> 6.11 </w:t>
            </w:r>
          </w:p>
        </w:tc>
        <w:tc>
          <w:tcPr>
            <w:tcW w:w="1539" w:type="dxa"/>
            <w:vAlign w:val="bottom"/>
          </w:tcPr>
          <w:p w14:paraId="7535825F" w14:textId="77777777" w:rsidR="00280ACD" w:rsidRDefault="00280ACD" w:rsidP="001B1EFB">
            <w:pPr>
              <w:pStyle w:val="Table"/>
              <w:tabs>
                <w:tab w:val="clear" w:pos="720"/>
                <w:tab w:val="decimal" w:pos="432"/>
              </w:tabs>
              <w:ind w:right="288"/>
              <w:jc w:val="right"/>
            </w:pPr>
            <w:r w:rsidRPr="00961F54">
              <w:t xml:space="preserve"> 88,695 </w:t>
            </w:r>
          </w:p>
        </w:tc>
        <w:tc>
          <w:tcPr>
            <w:tcW w:w="1540" w:type="dxa"/>
            <w:vAlign w:val="bottom"/>
          </w:tcPr>
          <w:p w14:paraId="20D77A2A" w14:textId="77777777" w:rsidR="00280ACD" w:rsidRDefault="00280ACD" w:rsidP="001B1EFB">
            <w:pPr>
              <w:pStyle w:val="Table"/>
              <w:tabs>
                <w:tab w:val="clear" w:pos="720"/>
                <w:tab w:val="decimal" w:pos="432"/>
              </w:tabs>
              <w:ind w:right="288"/>
              <w:jc w:val="right"/>
            </w:pPr>
            <w:r w:rsidRPr="00961F54">
              <w:t xml:space="preserve"> 93,404 </w:t>
            </w:r>
          </w:p>
        </w:tc>
        <w:tc>
          <w:tcPr>
            <w:tcW w:w="1540" w:type="dxa"/>
            <w:vAlign w:val="bottom"/>
          </w:tcPr>
          <w:p w14:paraId="05765648" w14:textId="77777777" w:rsidR="00280ACD" w:rsidRPr="001A76F5" w:rsidRDefault="00280ACD" w:rsidP="001B1EFB">
            <w:pPr>
              <w:pStyle w:val="Table"/>
              <w:tabs>
                <w:tab w:val="clear" w:pos="720"/>
                <w:tab w:val="decimal" w:pos="432"/>
              </w:tabs>
              <w:ind w:right="288"/>
              <w:jc w:val="right"/>
            </w:pPr>
            <w:r w:rsidRPr="001A76F5">
              <w:t xml:space="preserve"> 4,709 </w:t>
            </w:r>
          </w:p>
        </w:tc>
      </w:tr>
      <w:tr w:rsidR="00280ACD" w14:paraId="11C897B3" w14:textId="77777777" w:rsidTr="001B1EFB">
        <w:tc>
          <w:tcPr>
            <w:tcW w:w="1728" w:type="dxa"/>
          </w:tcPr>
          <w:p w14:paraId="41F35864" w14:textId="77777777" w:rsidR="00280ACD" w:rsidRDefault="00280ACD" w:rsidP="001B1EFB">
            <w:pPr>
              <w:pStyle w:val="Table"/>
            </w:pPr>
            <w:r>
              <w:t>SPEN SPM</w:t>
            </w:r>
          </w:p>
        </w:tc>
        <w:tc>
          <w:tcPr>
            <w:tcW w:w="1539" w:type="dxa"/>
            <w:vAlign w:val="center"/>
          </w:tcPr>
          <w:p w14:paraId="2F92DE47" w14:textId="77777777" w:rsidR="00280ACD" w:rsidRDefault="00280ACD" w:rsidP="001B1EFB">
            <w:pPr>
              <w:pStyle w:val="Table"/>
              <w:tabs>
                <w:tab w:val="clear" w:pos="720"/>
                <w:tab w:val="decimal" w:pos="432"/>
              </w:tabs>
              <w:ind w:right="288"/>
              <w:jc w:val="right"/>
            </w:pPr>
            <w:r w:rsidRPr="00961F54">
              <w:t xml:space="preserve"> 3.85 </w:t>
            </w:r>
          </w:p>
        </w:tc>
        <w:tc>
          <w:tcPr>
            <w:tcW w:w="1539" w:type="dxa"/>
            <w:vAlign w:val="center"/>
          </w:tcPr>
          <w:p w14:paraId="30661D7D" w14:textId="77777777" w:rsidR="00280ACD" w:rsidRDefault="00280ACD" w:rsidP="001B1EFB">
            <w:pPr>
              <w:pStyle w:val="Table"/>
              <w:tabs>
                <w:tab w:val="clear" w:pos="720"/>
                <w:tab w:val="decimal" w:pos="432"/>
              </w:tabs>
              <w:ind w:right="288"/>
              <w:jc w:val="right"/>
            </w:pPr>
            <w:r w:rsidRPr="00961F54">
              <w:t xml:space="preserve"> 6.65 </w:t>
            </w:r>
          </w:p>
        </w:tc>
        <w:tc>
          <w:tcPr>
            <w:tcW w:w="1539" w:type="dxa"/>
            <w:vAlign w:val="bottom"/>
          </w:tcPr>
          <w:p w14:paraId="58861A20" w14:textId="77777777" w:rsidR="00280ACD" w:rsidRDefault="00280ACD" w:rsidP="001B1EFB">
            <w:pPr>
              <w:pStyle w:val="Table"/>
              <w:tabs>
                <w:tab w:val="clear" w:pos="720"/>
                <w:tab w:val="decimal" w:pos="432"/>
              </w:tabs>
              <w:ind w:right="288"/>
              <w:jc w:val="right"/>
            </w:pPr>
            <w:r w:rsidRPr="00961F54">
              <w:t xml:space="preserve"> 70,263 </w:t>
            </w:r>
          </w:p>
        </w:tc>
        <w:tc>
          <w:tcPr>
            <w:tcW w:w="1540" w:type="dxa"/>
            <w:vAlign w:val="bottom"/>
          </w:tcPr>
          <w:p w14:paraId="2BA53609" w14:textId="77777777" w:rsidR="00280ACD" w:rsidRDefault="00280ACD" w:rsidP="001B1EFB">
            <w:pPr>
              <w:pStyle w:val="Table"/>
              <w:tabs>
                <w:tab w:val="clear" w:pos="720"/>
                <w:tab w:val="decimal" w:pos="432"/>
              </w:tabs>
              <w:ind w:right="288"/>
              <w:jc w:val="right"/>
            </w:pPr>
            <w:r w:rsidRPr="00961F54">
              <w:t xml:space="preserve"> 80,629 </w:t>
            </w:r>
          </w:p>
        </w:tc>
        <w:tc>
          <w:tcPr>
            <w:tcW w:w="1540" w:type="dxa"/>
            <w:vAlign w:val="bottom"/>
          </w:tcPr>
          <w:p w14:paraId="7C16CD22" w14:textId="77777777" w:rsidR="00280ACD" w:rsidRPr="001A76F5" w:rsidRDefault="00280ACD" w:rsidP="001B1EFB">
            <w:pPr>
              <w:pStyle w:val="Table"/>
              <w:tabs>
                <w:tab w:val="clear" w:pos="720"/>
                <w:tab w:val="decimal" w:pos="432"/>
              </w:tabs>
              <w:ind w:right="288"/>
              <w:jc w:val="right"/>
            </w:pPr>
            <w:r w:rsidRPr="001A76F5">
              <w:t xml:space="preserve"> 10,366 </w:t>
            </w:r>
          </w:p>
        </w:tc>
      </w:tr>
      <w:tr w:rsidR="00280ACD" w14:paraId="1BF5E7B0" w14:textId="77777777" w:rsidTr="001B1EFB">
        <w:tc>
          <w:tcPr>
            <w:tcW w:w="1728" w:type="dxa"/>
          </w:tcPr>
          <w:p w14:paraId="57707BBA" w14:textId="77777777" w:rsidR="00280ACD" w:rsidRDefault="00280ACD" w:rsidP="001B1EFB">
            <w:pPr>
              <w:pStyle w:val="Table"/>
            </w:pPr>
            <w:r>
              <w:t>SSEPD SEPD</w:t>
            </w:r>
          </w:p>
        </w:tc>
        <w:tc>
          <w:tcPr>
            <w:tcW w:w="1539" w:type="dxa"/>
            <w:vAlign w:val="center"/>
          </w:tcPr>
          <w:p w14:paraId="11477646" w14:textId="77777777" w:rsidR="00280ACD" w:rsidRDefault="00280ACD" w:rsidP="001B1EFB">
            <w:pPr>
              <w:pStyle w:val="Table"/>
              <w:tabs>
                <w:tab w:val="clear" w:pos="720"/>
                <w:tab w:val="decimal" w:pos="432"/>
              </w:tabs>
              <w:ind w:right="288"/>
              <w:jc w:val="right"/>
            </w:pPr>
            <w:r w:rsidRPr="00961F54">
              <w:t xml:space="preserve"> 5.14 </w:t>
            </w:r>
          </w:p>
        </w:tc>
        <w:tc>
          <w:tcPr>
            <w:tcW w:w="1539" w:type="dxa"/>
            <w:vAlign w:val="center"/>
          </w:tcPr>
          <w:p w14:paraId="7D911DE3" w14:textId="77777777" w:rsidR="00280ACD" w:rsidRDefault="00280ACD" w:rsidP="001B1EFB">
            <w:pPr>
              <w:pStyle w:val="Table"/>
              <w:tabs>
                <w:tab w:val="clear" w:pos="720"/>
                <w:tab w:val="decimal" w:pos="432"/>
              </w:tabs>
              <w:ind w:right="288"/>
              <w:jc w:val="right"/>
            </w:pPr>
            <w:r w:rsidRPr="00961F54">
              <w:t xml:space="preserve"> 6.50 </w:t>
            </w:r>
          </w:p>
        </w:tc>
        <w:tc>
          <w:tcPr>
            <w:tcW w:w="1539" w:type="dxa"/>
            <w:vAlign w:val="bottom"/>
          </w:tcPr>
          <w:p w14:paraId="43349217" w14:textId="77777777" w:rsidR="00280ACD" w:rsidRDefault="00280ACD" w:rsidP="001B1EFB">
            <w:pPr>
              <w:pStyle w:val="Table"/>
              <w:tabs>
                <w:tab w:val="clear" w:pos="720"/>
                <w:tab w:val="decimal" w:pos="432"/>
              </w:tabs>
              <w:ind w:right="288"/>
              <w:jc w:val="right"/>
            </w:pPr>
            <w:r w:rsidRPr="00961F54">
              <w:t xml:space="preserve"> 93,805 </w:t>
            </w:r>
          </w:p>
        </w:tc>
        <w:tc>
          <w:tcPr>
            <w:tcW w:w="1540" w:type="dxa"/>
            <w:vAlign w:val="bottom"/>
          </w:tcPr>
          <w:p w14:paraId="52D54350" w14:textId="77777777" w:rsidR="00280ACD" w:rsidRDefault="00280ACD" w:rsidP="001B1EFB">
            <w:pPr>
              <w:pStyle w:val="Table"/>
              <w:tabs>
                <w:tab w:val="clear" w:pos="720"/>
                <w:tab w:val="decimal" w:pos="432"/>
              </w:tabs>
              <w:ind w:right="288"/>
              <w:jc w:val="right"/>
            </w:pPr>
            <w:r w:rsidRPr="00961F54">
              <w:t xml:space="preserve"> 98,769 </w:t>
            </w:r>
          </w:p>
        </w:tc>
        <w:tc>
          <w:tcPr>
            <w:tcW w:w="1540" w:type="dxa"/>
            <w:vAlign w:val="bottom"/>
          </w:tcPr>
          <w:p w14:paraId="5A842E6D" w14:textId="77777777" w:rsidR="00280ACD" w:rsidRPr="001A76F5" w:rsidRDefault="00280ACD" w:rsidP="001B1EFB">
            <w:pPr>
              <w:pStyle w:val="Table"/>
              <w:tabs>
                <w:tab w:val="clear" w:pos="720"/>
                <w:tab w:val="decimal" w:pos="432"/>
              </w:tabs>
              <w:ind w:right="288"/>
              <w:jc w:val="right"/>
            </w:pPr>
            <w:r w:rsidRPr="001A76F5">
              <w:t xml:space="preserve"> 4,964 </w:t>
            </w:r>
          </w:p>
        </w:tc>
      </w:tr>
      <w:tr w:rsidR="00280ACD" w14:paraId="7ABFD348" w14:textId="77777777" w:rsidTr="001B1EFB">
        <w:tc>
          <w:tcPr>
            <w:tcW w:w="1728" w:type="dxa"/>
          </w:tcPr>
          <w:p w14:paraId="43C6077B" w14:textId="77777777" w:rsidR="00280ACD" w:rsidRDefault="00280ACD" w:rsidP="001B1EFB">
            <w:pPr>
              <w:pStyle w:val="Table"/>
            </w:pPr>
            <w:r>
              <w:t>SSEPD SHEPD</w:t>
            </w:r>
          </w:p>
        </w:tc>
        <w:tc>
          <w:tcPr>
            <w:tcW w:w="1539" w:type="dxa"/>
            <w:vAlign w:val="center"/>
          </w:tcPr>
          <w:p w14:paraId="1F19CA89" w14:textId="77777777" w:rsidR="00280ACD" w:rsidRDefault="00280ACD" w:rsidP="001B1EFB">
            <w:pPr>
              <w:pStyle w:val="Table"/>
              <w:tabs>
                <w:tab w:val="clear" w:pos="720"/>
                <w:tab w:val="decimal" w:pos="432"/>
              </w:tabs>
              <w:ind w:right="288"/>
              <w:jc w:val="right"/>
            </w:pPr>
            <w:r w:rsidRPr="00961F54">
              <w:t xml:space="preserve"> 9.81 </w:t>
            </w:r>
          </w:p>
        </w:tc>
        <w:tc>
          <w:tcPr>
            <w:tcW w:w="1539" w:type="dxa"/>
            <w:vAlign w:val="center"/>
          </w:tcPr>
          <w:p w14:paraId="3B7B9CDF" w14:textId="77777777" w:rsidR="00280ACD" w:rsidRDefault="00280ACD" w:rsidP="001B1EFB">
            <w:pPr>
              <w:pStyle w:val="Table"/>
              <w:tabs>
                <w:tab w:val="clear" w:pos="720"/>
                <w:tab w:val="decimal" w:pos="432"/>
              </w:tabs>
              <w:ind w:right="288"/>
              <w:jc w:val="right"/>
            </w:pPr>
            <w:r w:rsidRPr="00961F54">
              <w:t xml:space="preserve"> 11.39 </w:t>
            </w:r>
          </w:p>
        </w:tc>
        <w:tc>
          <w:tcPr>
            <w:tcW w:w="1539" w:type="dxa"/>
            <w:vAlign w:val="bottom"/>
          </w:tcPr>
          <w:p w14:paraId="103DEC35" w14:textId="77777777" w:rsidR="00280ACD" w:rsidRDefault="00280ACD" w:rsidP="001B1EFB">
            <w:pPr>
              <w:pStyle w:val="Table"/>
              <w:tabs>
                <w:tab w:val="clear" w:pos="720"/>
                <w:tab w:val="decimal" w:pos="432"/>
              </w:tabs>
              <w:ind w:right="288"/>
              <w:jc w:val="right"/>
            </w:pPr>
            <w:r w:rsidRPr="00961F54">
              <w:t xml:space="preserve"> 179,033 </w:t>
            </w:r>
          </w:p>
        </w:tc>
        <w:tc>
          <w:tcPr>
            <w:tcW w:w="1540" w:type="dxa"/>
            <w:vAlign w:val="bottom"/>
          </w:tcPr>
          <w:p w14:paraId="329B74E3" w14:textId="77777777" w:rsidR="00280ACD" w:rsidRDefault="00280ACD" w:rsidP="001B1EFB">
            <w:pPr>
              <w:pStyle w:val="Table"/>
              <w:tabs>
                <w:tab w:val="clear" w:pos="720"/>
                <w:tab w:val="decimal" w:pos="432"/>
              </w:tabs>
              <w:ind w:right="288"/>
              <w:jc w:val="right"/>
            </w:pPr>
            <w:r w:rsidRPr="00961F54">
              <w:t xml:space="preserve"> 185,092 </w:t>
            </w:r>
          </w:p>
        </w:tc>
        <w:tc>
          <w:tcPr>
            <w:tcW w:w="1540" w:type="dxa"/>
            <w:vAlign w:val="bottom"/>
          </w:tcPr>
          <w:p w14:paraId="10DFF4D2" w14:textId="77777777" w:rsidR="00280ACD" w:rsidRPr="001A76F5" w:rsidRDefault="00280ACD" w:rsidP="001B1EFB">
            <w:pPr>
              <w:pStyle w:val="Table"/>
              <w:tabs>
                <w:tab w:val="clear" w:pos="720"/>
                <w:tab w:val="decimal" w:pos="432"/>
              </w:tabs>
              <w:ind w:right="288"/>
              <w:jc w:val="right"/>
            </w:pPr>
            <w:r w:rsidRPr="001A76F5">
              <w:t xml:space="preserve"> 6,059 </w:t>
            </w:r>
          </w:p>
        </w:tc>
      </w:tr>
      <w:tr w:rsidR="00280ACD" w14:paraId="7310B6C6" w14:textId="77777777" w:rsidTr="001B1EFB">
        <w:tc>
          <w:tcPr>
            <w:tcW w:w="1728" w:type="dxa"/>
          </w:tcPr>
          <w:p w14:paraId="2C197DCC" w14:textId="77777777" w:rsidR="00280ACD" w:rsidRDefault="00280ACD" w:rsidP="001B1EFB">
            <w:pPr>
              <w:pStyle w:val="Table"/>
            </w:pPr>
            <w:r>
              <w:t>UKPN EPN</w:t>
            </w:r>
          </w:p>
        </w:tc>
        <w:tc>
          <w:tcPr>
            <w:tcW w:w="1539" w:type="dxa"/>
            <w:vAlign w:val="center"/>
          </w:tcPr>
          <w:p w14:paraId="68FBD2B3" w14:textId="77777777" w:rsidR="00280ACD" w:rsidRDefault="00280ACD" w:rsidP="001B1EFB">
            <w:pPr>
              <w:pStyle w:val="Table"/>
              <w:tabs>
                <w:tab w:val="clear" w:pos="720"/>
                <w:tab w:val="decimal" w:pos="432"/>
              </w:tabs>
              <w:ind w:right="288"/>
              <w:jc w:val="right"/>
            </w:pPr>
            <w:r w:rsidRPr="00961F54">
              <w:t xml:space="preserve"> 4.08 </w:t>
            </w:r>
          </w:p>
        </w:tc>
        <w:tc>
          <w:tcPr>
            <w:tcW w:w="1539" w:type="dxa"/>
            <w:vAlign w:val="center"/>
          </w:tcPr>
          <w:p w14:paraId="1FCF03D5" w14:textId="77777777" w:rsidR="00280ACD" w:rsidRDefault="00280ACD" w:rsidP="001B1EFB">
            <w:pPr>
              <w:pStyle w:val="Table"/>
              <w:tabs>
                <w:tab w:val="clear" w:pos="720"/>
                <w:tab w:val="decimal" w:pos="432"/>
              </w:tabs>
              <w:ind w:right="288"/>
              <w:jc w:val="right"/>
            </w:pPr>
            <w:r w:rsidRPr="00961F54">
              <w:t xml:space="preserve"> 6.04 </w:t>
            </w:r>
          </w:p>
        </w:tc>
        <w:tc>
          <w:tcPr>
            <w:tcW w:w="1539" w:type="dxa"/>
            <w:vAlign w:val="bottom"/>
          </w:tcPr>
          <w:p w14:paraId="63D2BDF2" w14:textId="77777777" w:rsidR="00280ACD" w:rsidRDefault="00280ACD" w:rsidP="001B1EFB">
            <w:pPr>
              <w:pStyle w:val="Table"/>
              <w:tabs>
                <w:tab w:val="clear" w:pos="720"/>
                <w:tab w:val="decimal" w:pos="432"/>
              </w:tabs>
              <w:ind w:right="288"/>
              <w:jc w:val="right"/>
            </w:pPr>
            <w:r w:rsidRPr="00961F54">
              <w:t xml:space="preserve"> 74,460 </w:t>
            </w:r>
          </w:p>
        </w:tc>
        <w:tc>
          <w:tcPr>
            <w:tcW w:w="1540" w:type="dxa"/>
            <w:vAlign w:val="bottom"/>
          </w:tcPr>
          <w:p w14:paraId="26CDD644" w14:textId="77777777" w:rsidR="00280ACD" w:rsidRDefault="00280ACD" w:rsidP="001B1EFB">
            <w:pPr>
              <w:pStyle w:val="Table"/>
              <w:tabs>
                <w:tab w:val="clear" w:pos="720"/>
                <w:tab w:val="decimal" w:pos="432"/>
              </w:tabs>
              <w:ind w:right="288"/>
              <w:jc w:val="right"/>
            </w:pPr>
            <w:r w:rsidRPr="00961F54">
              <w:t xml:space="preserve"> 81,614 </w:t>
            </w:r>
          </w:p>
        </w:tc>
        <w:tc>
          <w:tcPr>
            <w:tcW w:w="1540" w:type="dxa"/>
            <w:vAlign w:val="bottom"/>
          </w:tcPr>
          <w:p w14:paraId="41A1B104" w14:textId="77777777" w:rsidR="00280ACD" w:rsidRPr="001A76F5" w:rsidRDefault="00280ACD" w:rsidP="001B1EFB">
            <w:pPr>
              <w:pStyle w:val="Table"/>
              <w:tabs>
                <w:tab w:val="clear" w:pos="720"/>
                <w:tab w:val="decimal" w:pos="432"/>
              </w:tabs>
              <w:ind w:right="288"/>
              <w:jc w:val="right"/>
            </w:pPr>
            <w:r w:rsidRPr="001A76F5">
              <w:t xml:space="preserve"> 7,154 </w:t>
            </w:r>
          </w:p>
        </w:tc>
      </w:tr>
      <w:tr w:rsidR="00280ACD" w14:paraId="29C6923B" w14:textId="77777777" w:rsidTr="001B1EFB">
        <w:tc>
          <w:tcPr>
            <w:tcW w:w="1728" w:type="dxa"/>
          </w:tcPr>
          <w:p w14:paraId="6340BF57" w14:textId="77777777" w:rsidR="00280ACD" w:rsidRDefault="00280ACD" w:rsidP="001B1EFB">
            <w:pPr>
              <w:pStyle w:val="Table"/>
            </w:pPr>
            <w:r>
              <w:t>UKPN LPN</w:t>
            </w:r>
          </w:p>
        </w:tc>
        <w:tc>
          <w:tcPr>
            <w:tcW w:w="1539" w:type="dxa"/>
            <w:vAlign w:val="center"/>
          </w:tcPr>
          <w:p w14:paraId="45F95EB9" w14:textId="77777777" w:rsidR="00280ACD" w:rsidRDefault="00280ACD" w:rsidP="001B1EFB">
            <w:pPr>
              <w:pStyle w:val="Table"/>
              <w:tabs>
                <w:tab w:val="clear" w:pos="720"/>
                <w:tab w:val="decimal" w:pos="432"/>
              </w:tabs>
              <w:ind w:right="288"/>
              <w:jc w:val="right"/>
            </w:pPr>
            <w:r w:rsidRPr="00961F54">
              <w:t xml:space="preserve"> 7.72 </w:t>
            </w:r>
          </w:p>
        </w:tc>
        <w:tc>
          <w:tcPr>
            <w:tcW w:w="1539" w:type="dxa"/>
            <w:vAlign w:val="center"/>
          </w:tcPr>
          <w:p w14:paraId="0AB3AB30" w14:textId="77777777" w:rsidR="00280ACD" w:rsidRDefault="00280ACD" w:rsidP="001B1EFB">
            <w:pPr>
              <w:pStyle w:val="Table"/>
              <w:tabs>
                <w:tab w:val="clear" w:pos="720"/>
                <w:tab w:val="decimal" w:pos="432"/>
              </w:tabs>
              <w:ind w:right="288"/>
              <w:jc w:val="right"/>
            </w:pPr>
            <w:r w:rsidRPr="00961F54">
              <w:t xml:space="preserve"> 8.81 </w:t>
            </w:r>
          </w:p>
        </w:tc>
        <w:tc>
          <w:tcPr>
            <w:tcW w:w="1539" w:type="dxa"/>
            <w:vAlign w:val="bottom"/>
          </w:tcPr>
          <w:p w14:paraId="29BB0AF5" w14:textId="77777777" w:rsidR="00280ACD" w:rsidRDefault="00280ACD" w:rsidP="001B1EFB">
            <w:pPr>
              <w:pStyle w:val="Table"/>
              <w:tabs>
                <w:tab w:val="clear" w:pos="720"/>
                <w:tab w:val="decimal" w:pos="432"/>
              </w:tabs>
              <w:ind w:right="288"/>
              <w:jc w:val="right"/>
            </w:pPr>
            <w:r w:rsidRPr="00961F54">
              <w:t xml:space="preserve"> 140,890 </w:t>
            </w:r>
          </w:p>
        </w:tc>
        <w:tc>
          <w:tcPr>
            <w:tcW w:w="1540" w:type="dxa"/>
            <w:vAlign w:val="bottom"/>
          </w:tcPr>
          <w:p w14:paraId="07A02D87" w14:textId="77777777" w:rsidR="00280ACD" w:rsidRDefault="00280ACD" w:rsidP="001B1EFB">
            <w:pPr>
              <w:pStyle w:val="Table"/>
              <w:tabs>
                <w:tab w:val="clear" w:pos="720"/>
                <w:tab w:val="decimal" w:pos="432"/>
              </w:tabs>
              <w:ind w:right="288"/>
              <w:jc w:val="right"/>
            </w:pPr>
            <w:r w:rsidRPr="00961F54">
              <w:t xml:space="preserve"> 144,869 </w:t>
            </w:r>
          </w:p>
        </w:tc>
        <w:tc>
          <w:tcPr>
            <w:tcW w:w="1540" w:type="dxa"/>
            <w:vAlign w:val="bottom"/>
          </w:tcPr>
          <w:p w14:paraId="26FF4353" w14:textId="77777777" w:rsidR="00280ACD" w:rsidRPr="001A76F5" w:rsidRDefault="00280ACD" w:rsidP="001B1EFB">
            <w:pPr>
              <w:pStyle w:val="Table"/>
              <w:tabs>
                <w:tab w:val="clear" w:pos="720"/>
                <w:tab w:val="decimal" w:pos="432"/>
              </w:tabs>
              <w:ind w:right="288"/>
              <w:jc w:val="right"/>
            </w:pPr>
            <w:r w:rsidRPr="001A76F5">
              <w:t xml:space="preserve"> 3,979 </w:t>
            </w:r>
          </w:p>
        </w:tc>
      </w:tr>
      <w:tr w:rsidR="00280ACD" w14:paraId="002BC257" w14:textId="77777777" w:rsidTr="001B1EFB">
        <w:tc>
          <w:tcPr>
            <w:tcW w:w="1728" w:type="dxa"/>
          </w:tcPr>
          <w:p w14:paraId="41E4BB6C" w14:textId="77777777" w:rsidR="00280ACD" w:rsidRDefault="00280ACD" w:rsidP="001B1EFB">
            <w:pPr>
              <w:pStyle w:val="Table"/>
            </w:pPr>
            <w:r>
              <w:t>UKPN SPN</w:t>
            </w:r>
          </w:p>
        </w:tc>
        <w:tc>
          <w:tcPr>
            <w:tcW w:w="1539" w:type="dxa"/>
            <w:vAlign w:val="center"/>
          </w:tcPr>
          <w:p w14:paraId="7EF6FDD7" w14:textId="77777777" w:rsidR="00280ACD" w:rsidRDefault="00280ACD" w:rsidP="001B1EFB">
            <w:pPr>
              <w:pStyle w:val="Table"/>
              <w:tabs>
                <w:tab w:val="clear" w:pos="720"/>
                <w:tab w:val="decimal" w:pos="432"/>
              </w:tabs>
              <w:ind w:right="288"/>
              <w:jc w:val="right"/>
            </w:pPr>
            <w:r w:rsidRPr="00961F54">
              <w:t xml:space="preserve"> 3.93 </w:t>
            </w:r>
          </w:p>
        </w:tc>
        <w:tc>
          <w:tcPr>
            <w:tcW w:w="1539" w:type="dxa"/>
            <w:vAlign w:val="center"/>
          </w:tcPr>
          <w:p w14:paraId="6475189D" w14:textId="77777777" w:rsidR="00280ACD" w:rsidRDefault="00280ACD" w:rsidP="001B1EFB">
            <w:pPr>
              <w:pStyle w:val="Table"/>
              <w:tabs>
                <w:tab w:val="clear" w:pos="720"/>
                <w:tab w:val="decimal" w:pos="432"/>
              </w:tabs>
              <w:ind w:right="288"/>
              <w:jc w:val="right"/>
            </w:pPr>
            <w:r w:rsidRPr="00961F54">
              <w:t xml:space="preserve"> 6.59 </w:t>
            </w:r>
          </w:p>
        </w:tc>
        <w:tc>
          <w:tcPr>
            <w:tcW w:w="1539" w:type="dxa"/>
            <w:vAlign w:val="bottom"/>
          </w:tcPr>
          <w:p w14:paraId="7B3E3472" w14:textId="77777777" w:rsidR="00280ACD" w:rsidRDefault="00280ACD" w:rsidP="001B1EFB">
            <w:pPr>
              <w:pStyle w:val="Table"/>
              <w:tabs>
                <w:tab w:val="clear" w:pos="720"/>
                <w:tab w:val="decimal" w:pos="432"/>
              </w:tabs>
              <w:ind w:right="288"/>
              <w:jc w:val="right"/>
            </w:pPr>
            <w:r w:rsidRPr="00961F54">
              <w:t xml:space="preserve"> 71,723 </w:t>
            </w:r>
          </w:p>
        </w:tc>
        <w:tc>
          <w:tcPr>
            <w:tcW w:w="1540" w:type="dxa"/>
            <w:vAlign w:val="bottom"/>
          </w:tcPr>
          <w:p w14:paraId="1C6EEB75" w14:textId="77777777" w:rsidR="00280ACD" w:rsidRDefault="00280ACD" w:rsidP="001B1EFB">
            <w:pPr>
              <w:pStyle w:val="Table"/>
              <w:tabs>
                <w:tab w:val="clear" w:pos="720"/>
                <w:tab w:val="decimal" w:pos="432"/>
              </w:tabs>
              <w:ind w:right="288"/>
              <w:jc w:val="right"/>
            </w:pPr>
            <w:r w:rsidRPr="00961F54">
              <w:t xml:space="preserve"> 81,432 </w:t>
            </w:r>
          </w:p>
        </w:tc>
        <w:tc>
          <w:tcPr>
            <w:tcW w:w="1540" w:type="dxa"/>
            <w:vAlign w:val="bottom"/>
          </w:tcPr>
          <w:p w14:paraId="664BACA9" w14:textId="77777777" w:rsidR="00280ACD" w:rsidRPr="001A76F5" w:rsidRDefault="00280ACD" w:rsidP="001B1EFB">
            <w:pPr>
              <w:pStyle w:val="Table"/>
              <w:tabs>
                <w:tab w:val="clear" w:pos="720"/>
                <w:tab w:val="decimal" w:pos="432"/>
              </w:tabs>
              <w:ind w:right="288"/>
              <w:jc w:val="right"/>
            </w:pPr>
            <w:r w:rsidRPr="001A76F5">
              <w:t xml:space="preserve"> 9,709 </w:t>
            </w:r>
          </w:p>
        </w:tc>
      </w:tr>
      <w:tr w:rsidR="00280ACD" w14:paraId="462FB39E" w14:textId="77777777" w:rsidTr="001B1EFB">
        <w:tc>
          <w:tcPr>
            <w:tcW w:w="1728" w:type="dxa"/>
          </w:tcPr>
          <w:p w14:paraId="29CB2925" w14:textId="77777777" w:rsidR="00280ACD" w:rsidRDefault="00280ACD" w:rsidP="001B1EFB">
            <w:pPr>
              <w:pStyle w:val="Table"/>
            </w:pPr>
            <w:r>
              <w:t xml:space="preserve">WPD </w:t>
            </w:r>
            <w:proofErr w:type="spellStart"/>
            <w:r>
              <w:t>EastM</w:t>
            </w:r>
            <w:proofErr w:type="spellEnd"/>
          </w:p>
        </w:tc>
        <w:tc>
          <w:tcPr>
            <w:tcW w:w="1539" w:type="dxa"/>
            <w:vAlign w:val="center"/>
          </w:tcPr>
          <w:p w14:paraId="71F64A5B" w14:textId="77777777" w:rsidR="00280ACD" w:rsidRDefault="00280ACD" w:rsidP="001B1EFB">
            <w:pPr>
              <w:pStyle w:val="Table"/>
              <w:tabs>
                <w:tab w:val="clear" w:pos="720"/>
                <w:tab w:val="decimal" w:pos="432"/>
              </w:tabs>
              <w:ind w:right="288"/>
              <w:jc w:val="right"/>
            </w:pPr>
            <w:r w:rsidRPr="00961F54">
              <w:t xml:space="preserve"> 3.97 </w:t>
            </w:r>
          </w:p>
        </w:tc>
        <w:tc>
          <w:tcPr>
            <w:tcW w:w="1539" w:type="dxa"/>
            <w:vAlign w:val="center"/>
          </w:tcPr>
          <w:p w14:paraId="108F6C17" w14:textId="77777777" w:rsidR="00280ACD" w:rsidRDefault="00280ACD" w:rsidP="001B1EFB">
            <w:pPr>
              <w:pStyle w:val="Table"/>
              <w:tabs>
                <w:tab w:val="clear" w:pos="720"/>
                <w:tab w:val="decimal" w:pos="432"/>
              </w:tabs>
              <w:ind w:right="288"/>
              <w:jc w:val="right"/>
            </w:pPr>
            <w:r w:rsidRPr="00961F54">
              <w:t xml:space="preserve"> 5.99 </w:t>
            </w:r>
          </w:p>
        </w:tc>
        <w:tc>
          <w:tcPr>
            <w:tcW w:w="1539" w:type="dxa"/>
            <w:vAlign w:val="bottom"/>
          </w:tcPr>
          <w:p w14:paraId="6932588A" w14:textId="77777777" w:rsidR="00280ACD" w:rsidRDefault="00280ACD" w:rsidP="001B1EFB">
            <w:pPr>
              <w:pStyle w:val="Table"/>
              <w:tabs>
                <w:tab w:val="clear" w:pos="720"/>
                <w:tab w:val="decimal" w:pos="432"/>
              </w:tabs>
              <w:ind w:right="288"/>
              <w:jc w:val="right"/>
            </w:pPr>
            <w:r w:rsidRPr="00961F54">
              <w:t xml:space="preserve"> 72,453 </w:t>
            </w:r>
          </w:p>
        </w:tc>
        <w:tc>
          <w:tcPr>
            <w:tcW w:w="1540" w:type="dxa"/>
            <w:vAlign w:val="bottom"/>
          </w:tcPr>
          <w:p w14:paraId="4B7B8A16" w14:textId="77777777" w:rsidR="00280ACD" w:rsidRDefault="00280ACD" w:rsidP="001B1EFB">
            <w:pPr>
              <w:pStyle w:val="Table"/>
              <w:tabs>
                <w:tab w:val="clear" w:pos="720"/>
                <w:tab w:val="decimal" w:pos="432"/>
              </w:tabs>
              <w:ind w:right="288"/>
              <w:jc w:val="right"/>
            </w:pPr>
            <w:r w:rsidRPr="00961F54">
              <w:t xml:space="preserve"> 79,826 </w:t>
            </w:r>
          </w:p>
        </w:tc>
        <w:tc>
          <w:tcPr>
            <w:tcW w:w="1540" w:type="dxa"/>
            <w:vAlign w:val="bottom"/>
          </w:tcPr>
          <w:p w14:paraId="5D6D53AB" w14:textId="77777777" w:rsidR="00280ACD" w:rsidRPr="001A76F5" w:rsidRDefault="00280ACD" w:rsidP="001B1EFB">
            <w:pPr>
              <w:pStyle w:val="Table"/>
              <w:tabs>
                <w:tab w:val="clear" w:pos="720"/>
                <w:tab w:val="decimal" w:pos="432"/>
              </w:tabs>
              <w:ind w:right="288"/>
              <w:jc w:val="right"/>
            </w:pPr>
            <w:r w:rsidRPr="001A76F5">
              <w:t xml:space="preserve"> 7,373 </w:t>
            </w:r>
          </w:p>
        </w:tc>
      </w:tr>
      <w:tr w:rsidR="00280ACD" w14:paraId="31C37D70" w14:textId="77777777" w:rsidTr="001B1EFB">
        <w:tc>
          <w:tcPr>
            <w:tcW w:w="1728" w:type="dxa"/>
          </w:tcPr>
          <w:p w14:paraId="2F0A8ED7" w14:textId="77777777" w:rsidR="00280ACD" w:rsidRDefault="00280ACD" w:rsidP="001B1EFB">
            <w:pPr>
              <w:pStyle w:val="Table"/>
            </w:pPr>
            <w:r>
              <w:t xml:space="preserve">WPD </w:t>
            </w:r>
            <w:proofErr w:type="spellStart"/>
            <w:r>
              <w:t>SWales</w:t>
            </w:r>
            <w:proofErr w:type="spellEnd"/>
          </w:p>
        </w:tc>
        <w:tc>
          <w:tcPr>
            <w:tcW w:w="1539" w:type="dxa"/>
            <w:vAlign w:val="center"/>
          </w:tcPr>
          <w:p w14:paraId="43168ACC" w14:textId="77777777" w:rsidR="00280ACD" w:rsidRDefault="00280ACD" w:rsidP="001B1EFB">
            <w:pPr>
              <w:pStyle w:val="Table"/>
              <w:tabs>
                <w:tab w:val="clear" w:pos="720"/>
                <w:tab w:val="decimal" w:pos="432"/>
              </w:tabs>
              <w:ind w:right="288"/>
              <w:jc w:val="right"/>
            </w:pPr>
            <w:r w:rsidRPr="00961F54">
              <w:t xml:space="preserve"> 3.30 </w:t>
            </w:r>
          </w:p>
        </w:tc>
        <w:tc>
          <w:tcPr>
            <w:tcW w:w="1539" w:type="dxa"/>
            <w:vAlign w:val="center"/>
          </w:tcPr>
          <w:p w14:paraId="52D792E5" w14:textId="77777777" w:rsidR="00280ACD" w:rsidRDefault="00280ACD" w:rsidP="001B1EFB">
            <w:pPr>
              <w:pStyle w:val="Table"/>
              <w:tabs>
                <w:tab w:val="clear" w:pos="720"/>
                <w:tab w:val="decimal" w:pos="432"/>
              </w:tabs>
              <w:ind w:right="288"/>
              <w:jc w:val="right"/>
            </w:pPr>
            <w:r w:rsidRPr="00961F54">
              <w:t xml:space="preserve"> 7.48 </w:t>
            </w:r>
          </w:p>
        </w:tc>
        <w:tc>
          <w:tcPr>
            <w:tcW w:w="1539" w:type="dxa"/>
            <w:vAlign w:val="bottom"/>
          </w:tcPr>
          <w:p w14:paraId="332B2C6A" w14:textId="77777777" w:rsidR="00280ACD" w:rsidRDefault="00280ACD" w:rsidP="001B1EFB">
            <w:pPr>
              <w:pStyle w:val="Table"/>
              <w:tabs>
                <w:tab w:val="clear" w:pos="720"/>
                <w:tab w:val="decimal" w:pos="432"/>
              </w:tabs>
              <w:ind w:right="288"/>
              <w:jc w:val="right"/>
            </w:pPr>
            <w:r w:rsidRPr="00961F54">
              <w:t xml:space="preserve"> 60,225 </w:t>
            </w:r>
          </w:p>
        </w:tc>
        <w:tc>
          <w:tcPr>
            <w:tcW w:w="1540" w:type="dxa"/>
            <w:vAlign w:val="bottom"/>
          </w:tcPr>
          <w:p w14:paraId="1A53B474" w14:textId="77777777" w:rsidR="00280ACD" w:rsidRDefault="00280ACD" w:rsidP="001B1EFB">
            <w:pPr>
              <w:pStyle w:val="Table"/>
              <w:tabs>
                <w:tab w:val="clear" w:pos="720"/>
                <w:tab w:val="decimal" w:pos="432"/>
              </w:tabs>
              <w:ind w:right="288"/>
              <w:jc w:val="right"/>
            </w:pPr>
            <w:r w:rsidRPr="00961F54">
              <w:t xml:space="preserve"> 75,628 </w:t>
            </w:r>
          </w:p>
        </w:tc>
        <w:tc>
          <w:tcPr>
            <w:tcW w:w="1540" w:type="dxa"/>
            <w:vAlign w:val="bottom"/>
          </w:tcPr>
          <w:p w14:paraId="183E86BB" w14:textId="77777777" w:rsidR="00280ACD" w:rsidRPr="001A76F5" w:rsidRDefault="00280ACD" w:rsidP="001B1EFB">
            <w:pPr>
              <w:pStyle w:val="Table"/>
              <w:tabs>
                <w:tab w:val="clear" w:pos="720"/>
                <w:tab w:val="decimal" w:pos="432"/>
              </w:tabs>
              <w:ind w:right="288"/>
              <w:jc w:val="right"/>
            </w:pPr>
            <w:r w:rsidRPr="001A76F5">
              <w:t xml:space="preserve"> 15,403 </w:t>
            </w:r>
          </w:p>
        </w:tc>
      </w:tr>
      <w:tr w:rsidR="00280ACD" w14:paraId="7561A769" w14:textId="77777777" w:rsidTr="001B1EFB">
        <w:tc>
          <w:tcPr>
            <w:tcW w:w="1728" w:type="dxa"/>
          </w:tcPr>
          <w:p w14:paraId="33B012CC" w14:textId="77777777" w:rsidR="00280ACD" w:rsidRDefault="00280ACD" w:rsidP="001B1EFB">
            <w:pPr>
              <w:pStyle w:val="Table"/>
            </w:pPr>
            <w:r>
              <w:t xml:space="preserve">WPD </w:t>
            </w:r>
            <w:proofErr w:type="spellStart"/>
            <w:r>
              <w:t>SWest</w:t>
            </w:r>
            <w:proofErr w:type="spellEnd"/>
          </w:p>
        </w:tc>
        <w:tc>
          <w:tcPr>
            <w:tcW w:w="1539" w:type="dxa"/>
            <w:vAlign w:val="center"/>
          </w:tcPr>
          <w:p w14:paraId="04CDDF2D" w14:textId="77777777" w:rsidR="00280ACD" w:rsidRDefault="00280ACD" w:rsidP="001B1EFB">
            <w:pPr>
              <w:pStyle w:val="Table"/>
              <w:tabs>
                <w:tab w:val="clear" w:pos="720"/>
                <w:tab w:val="decimal" w:pos="432"/>
              </w:tabs>
              <w:ind w:right="288"/>
              <w:jc w:val="right"/>
            </w:pPr>
            <w:r w:rsidRPr="00961F54">
              <w:t xml:space="preserve"> 2.29 </w:t>
            </w:r>
          </w:p>
        </w:tc>
        <w:tc>
          <w:tcPr>
            <w:tcW w:w="1539" w:type="dxa"/>
            <w:vAlign w:val="center"/>
          </w:tcPr>
          <w:p w14:paraId="68F76443" w14:textId="77777777" w:rsidR="00280ACD" w:rsidRDefault="00280ACD" w:rsidP="001B1EFB">
            <w:pPr>
              <w:pStyle w:val="Table"/>
              <w:tabs>
                <w:tab w:val="clear" w:pos="720"/>
                <w:tab w:val="decimal" w:pos="432"/>
              </w:tabs>
              <w:ind w:right="288"/>
              <w:jc w:val="right"/>
            </w:pPr>
            <w:r w:rsidRPr="00961F54">
              <w:t xml:space="preserve"> 7.25 </w:t>
            </w:r>
          </w:p>
        </w:tc>
        <w:tc>
          <w:tcPr>
            <w:tcW w:w="1539" w:type="dxa"/>
            <w:vAlign w:val="bottom"/>
          </w:tcPr>
          <w:p w14:paraId="75CE50E7" w14:textId="77777777" w:rsidR="00280ACD" w:rsidRDefault="00280ACD" w:rsidP="001B1EFB">
            <w:pPr>
              <w:pStyle w:val="Table"/>
              <w:tabs>
                <w:tab w:val="clear" w:pos="720"/>
                <w:tab w:val="decimal" w:pos="432"/>
              </w:tabs>
              <w:ind w:right="288"/>
              <w:jc w:val="right"/>
            </w:pPr>
            <w:r w:rsidRPr="00961F54">
              <w:t xml:space="preserve"> 41,793 </w:t>
            </w:r>
          </w:p>
        </w:tc>
        <w:tc>
          <w:tcPr>
            <w:tcW w:w="1540" w:type="dxa"/>
            <w:vAlign w:val="bottom"/>
          </w:tcPr>
          <w:p w14:paraId="0702A3B6" w14:textId="77777777" w:rsidR="00280ACD" w:rsidRDefault="00280ACD" w:rsidP="001B1EFB">
            <w:pPr>
              <w:pStyle w:val="Table"/>
              <w:tabs>
                <w:tab w:val="clear" w:pos="720"/>
                <w:tab w:val="decimal" w:pos="432"/>
              </w:tabs>
              <w:ind w:right="288"/>
              <w:jc w:val="right"/>
            </w:pPr>
            <w:r w:rsidRPr="00961F54">
              <w:t xml:space="preserve"> 60,043 </w:t>
            </w:r>
          </w:p>
        </w:tc>
        <w:tc>
          <w:tcPr>
            <w:tcW w:w="1540" w:type="dxa"/>
            <w:vAlign w:val="bottom"/>
          </w:tcPr>
          <w:p w14:paraId="0B4F1EEA" w14:textId="77777777" w:rsidR="00280ACD" w:rsidRPr="001A76F5" w:rsidRDefault="00280ACD" w:rsidP="001B1EFB">
            <w:pPr>
              <w:pStyle w:val="Table"/>
              <w:tabs>
                <w:tab w:val="clear" w:pos="720"/>
                <w:tab w:val="decimal" w:pos="432"/>
              </w:tabs>
              <w:ind w:right="288"/>
              <w:jc w:val="right"/>
            </w:pPr>
            <w:r w:rsidRPr="001A76F5">
              <w:t xml:space="preserve"> 18,250 </w:t>
            </w:r>
          </w:p>
        </w:tc>
      </w:tr>
      <w:tr w:rsidR="00280ACD" w14:paraId="7B72FEA2" w14:textId="77777777" w:rsidTr="001B1EFB">
        <w:tc>
          <w:tcPr>
            <w:tcW w:w="1728" w:type="dxa"/>
          </w:tcPr>
          <w:p w14:paraId="3E604E06" w14:textId="77777777" w:rsidR="00280ACD" w:rsidRDefault="00280ACD" w:rsidP="001B1EFB">
            <w:pPr>
              <w:pStyle w:val="Table"/>
            </w:pPr>
            <w:r>
              <w:t xml:space="preserve">WPD </w:t>
            </w:r>
            <w:proofErr w:type="spellStart"/>
            <w:r>
              <w:t>WestM</w:t>
            </w:r>
            <w:proofErr w:type="spellEnd"/>
          </w:p>
        </w:tc>
        <w:tc>
          <w:tcPr>
            <w:tcW w:w="1539" w:type="dxa"/>
            <w:vAlign w:val="center"/>
          </w:tcPr>
          <w:p w14:paraId="0F9DFECB" w14:textId="77777777" w:rsidR="00280ACD" w:rsidRDefault="00280ACD" w:rsidP="001B1EFB">
            <w:pPr>
              <w:pStyle w:val="Table"/>
              <w:tabs>
                <w:tab w:val="clear" w:pos="720"/>
                <w:tab w:val="decimal" w:pos="432"/>
              </w:tabs>
              <w:ind w:right="288"/>
              <w:jc w:val="right"/>
            </w:pPr>
            <w:r w:rsidRPr="00961F54">
              <w:t xml:space="preserve"> 4.57 </w:t>
            </w:r>
          </w:p>
        </w:tc>
        <w:tc>
          <w:tcPr>
            <w:tcW w:w="1539" w:type="dxa"/>
            <w:vAlign w:val="center"/>
          </w:tcPr>
          <w:p w14:paraId="3B447794" w14:textId="77777777" w:rsidR="00280ACD" w:rsidRDefault="00280ACD" w:rsidP="001B1EFB">
            <w:pPr>
              <w:pStyle w:val="Table"/>
              <w:tabs>
                <w:tab w:val="clear" w:pos="720"/>
                <w:tab w:val="decimal" w:pos="432"/>
              </w:tabs>
              <w:ind w:right="288"/>
              <w:jc w:val="right"/>
            </w:pPr>
            <w:r w:rsidRPr="00961F54">
              <w:t xml:space="preserve"> 6.28 </w:t>
            </w:r>
          </w:p>
        </w:tc>
        <w:tc>
          <w:tcPr>
            <w:tcW w:w="1539" w:type="dxa"/>
            <w:vAlign w:val="bottom"/>
          </w:tcPr>
          <w:p w14:paraId="4CAC4DB2" w14:textId="77777777" w:rsidR="00280ACD" w:rsidRDefault="00280ACD" w:rsidP="001B1EFB">
            <w:pPr>
              <w:pStyle w:val="Table"/>
              <w:tabs>
                <w:tab w:val="clear" w:pos="720"/>
                <w:tab w:val="decimal" w:pos="432"/>
              </w:tabs>
              <w:ind w:right="288"/>
              <w:jc w:val="right"/>
            </w:pPr>
            <w:r w:rsidRPr="00961F54">
              <w:t xml:space="preserve"> 83,403 </w:t>
            </w:r>
          </w:p>
        </w:tc>
        <w:tc>
          <w:tcPr>
            <w:tcW w:w="1540" w:type="dxa"/>
            <w:vAlign w:val="bottom"/>
          </w:tcPr>
          <w:p w14:paraId="092D72D8" w14:textId="77777777" w:rsidR="00280ACD" w:rsidRDefault="00280ACD" w:rsidP="001B1EFB">
            <w:pPr>
              <w:pStyle w:val="Table"/>
              <w:tabs>
                <w:tab w:val="clear" w:pos="720"/>
                <w:tab w:val="decimal" w:pos="432"/>
              </w:tabs>
              <w:ind w:right="288"/>
              <w:jc w:val="right"/>
            </w:pPr>
            <w:r w:rsidRPr="00961F54">
              <w:t xml:space="preserve"> 89,790 </w:t>
            </w:r>
          </w:p>
        </w:tc>
        <w:tc>
          <w:tcPr>
            <w:tcW w:w="1540" w:type="dxa"/>
            <w:vAlign w:val="bottom"/>
          </w:tcPr>
          <w:p w14:paraId="2F9B7F64" w14:textId="77777777" w:rsidR="00280ACD" w:rsidRPr="001A76F5" w:rsidRDefault="00280ACD" w:rsidP="001B1EFB">
            <w:pPr>
              <w:pStyle w:val="Table"/>
              <w:tabs>
                <w:tab w:val="clear" w:pos="720"/>
                <w:tab w:val="decimal" w:pos="432"/>
              </w:tabs>
              <w:ind w:right="288"/>
              <w:jc w:val="right"/>
            </w:pPr>
            <w:r w:rsidRPr="001A76F5">
              <w:t xml:space="preserve"> 6,388 </w:t>
            </w:r>
          </w:p>
        </w:tc>
      </w:tr>
    </w:tbl>
    <w:p w14:paraId="059F8EDB" w14:textId="77777777" w:rsidR="00280ACD" w:rsidRDefault="00280ACD" w:rsidP="00280ACD">
      <w:pPr>
        <w:pStyle w:val="Table"/>
      </w:pPr>
    </w:p>
    <w:p w14:paraId="553820BA" w14:textId="77777777" w:rsidR="00280ACD" w:rsidRDefault="00280ACD" w:rsidP="00280ACD">
      <w:pPr>
        <w:pStyle w:val="Text"/>
        <w:numPr>
          <w:ilvl w:val="1"/>
          <w:numId w:val="3"/>
        </w:numPr>
      </w:pPr>
      <w:r>
        <w:t xml:space="preserve">Increases of a broadly similar nature would apply to low-voltage tariffs (LV and LV Sub) for half </w:t>
      </w:r>
      <w:proofErr w:type="gramStart"/>
      <w:r>
        <w:t>hourly metered</w:t>
      </w:r>
      <w:proofErr w:type="gramEnd"/>
      <w:r>
        <w:t xml:space="preserve"> customers.</w:t>
      </w:r>
    </w:p>
    <w:p w14:paraId="6477C89B" w14:textId="561D8597" w:rsidR="00C93266" w:rsidRDefault="00C93266" w:rsidP="00280ACD">
      <w:pPr>
        <w:pStyle w:val="Text"/>
        <w:numPr>
          <w:ilvl w:val="1"/>
          <w:numId w:val="3"/>
        </w:numPr>
      </w:pPr>
      <w:r>
        <w:t xml:space="preserve">My scenario analysis tools and compilations of public data can be accessed through </w:t>
      </w:r>
      <w:hyperlink r:id="rId13" w:history="1">
        <w:r w:rsidR="001E5820" w:rsidRPr="00DD3B02">
          <w:rPr>
            <w:rStyle w:val="Hyperlink"/>
            <w:b/>
          </w:rPr>
          <w:t>http://dcmf.co.uk/models/dcp161.html</w:t>
        </w:r>
      </w:hyperlink>
      <w:r>
        <w:t>.</w:t>
      </w:r>
    </w:p>
    <w:p w14:paraId="27497DA1" w14:textId="0936F5C7" w:rsidR="009C2405" w:rsidRDefault="009C2405" w:rsidP="00280ACD">
      <w:pPr>
        <w:pStyle w:val="Text"/>
        <w:numPr>
          <w:ilvl w:val="1"/>
          <w:numId w:val="3"/>
        </w:numPr>
      </w:pPr>
      <w:r>
        <w:t>The figures in the table above are my own estimates, based on data and models published by DNOs.  There might be small differences in the data or assumptions with industry consultation documents in cases where I have not used exactly the same assumptions (in this case, the DNOs have not released all the data underpinning their calculations).  There is also a risk that I have made an error — do not hesitate to contact me if anything looks strange or if you would like any help with understanding these data, or the impact on your business.</w:t>
      </w:r>
    </w:p>
    <w:p w14:paraId="4075DBA2" w14:textId="3BCC473C" w:rsidR="00280ACD" w:rsidRDefault="002A49D0" w:rsidP="00280ACD">
      <w:pPr>
        <w:pStyle w:val="Heading2"/>
        <w:pageBreakBefore/>
      </w:pPr>
      <w:r>
        <w:lastRenderedPageBreak/>
        <w:t>Appendix B</w:t>
      </w:r>
      <w:r w:rsidR="00280ACD">
        <w:t xml:space="preserve"> — Summary of arguments for and against the proposal</w:t>
      </w:r>
    </w:p>
    <w:p w14:paraId="04779A31" w14:textId="77777777" w:rsidR="00280ACD" w:rsidRDefault="00280ACD" w:rsidP="00280ACD">
      <w:pPr>
        <w:pStyle w:val="Heading3"/>
      </w:pPr>
      <w:r>
        <w:t>The cost reflectivity argument supporting the proposal seems sound in theory</w:t>
      </w:r>
    </w:p>
    <w:p w14:paraId="7B62F016" w14:textId="77777777" w:rsidR="00280ACD" w:rsidRDefault="00280ACD" w:rsidP="00280ACD">
      <w:pPr>
        <w:pStyle w:val="Text"/>
        <w:numPr>
          <w:ilvl w:val="1"/>
          <w:numId w:val="3"/>
        </w:numPr>
      </w:pPr>
      <w:r>
        <w:t>It is true in theory that it seems logical not to discount exceeded capacity charges for contributions deemed to have been made through connection charges.  This is because a customer who is using more capacity than what was agreed with the DNO is unlikely to have paid a connection charge for the exceeded element of the capacity.</w:t>
      </w:r>
    </w:p>
    <w:p w14:paraId="1DA1753B" w14:textId="77777777" w:rsidR="00280ACD" w:rsidRDefault="00280ACD" w:rsidP="00280ACD">
      <w:pPr>
        <w:pStyle w:val="Heading3"/>
      </w:pPr>
      <w:r>
        <w:t>But in practice, the cost reflectivity argument is a fallacy driven by a narrow examination of capacity charges without considering the charging methodology in the round</w:t>
      </w:r>
    </w:p>
    <w:p w14:paraId="561B0803" w14:textId="77777777" w:rsidR="00280ACD" w:rsidRDefault="00280ACD" w:rsidP="00280ACD">
      <w:pPr>
        <w:pStyle w:val="Text"/>
        <w:numPr>
          <w:ilvl w:val="1"/>
          <w:numId w:val="3"/>
        </w:numPr>
      </w:pPr>
      <w:r>
        <w:t>Even if exceeded capacity charges, on their own, reflect DNO costs, the overall structure of charges resulting from the proposal would lead to charges for consumption in excess of agreed capacity which, in some cases, grossly exceed costs.</w:t>
      </w:r>
    </w:p>
    <w:p w14:paraId="660F420A" w14:textId="77777777" w:rsidR="00280ACD" w:rsidRDefault="00280ACD" w:rsidP="00280ACD">
      <w:pPr>
        <w:pStyle w:val="Text"/>
        <w:numPr>
          <w:ilvl w:val="1"/>
          <w:numId w:val="3"/>
        </w:numPr>
      </w:pPr>
      <w:r>
        <w:t>For example, in respect of HV consumption in the red time band in the ENWL area, the unit rate of 10.7 p/kWh is made up of 4.7 p/kWh for upstream network costs and 6 p/kWh for revenue matching (see M-ATW sheet in the CDCM model).  The red time band runs for 10 hours a week, so £0.60 a week is paid over and above network costs for each kW of excess usage in red.  This is over 8 p/kVA/day.  The discount applied to capacity charges in respect of customer contributions is only 3.5 p/kVA/day (the difference between the proposed agreed and exceeded capacity charges).  Customers already pay over the odds for excess consumption; the change would increase this overcharge and turn it into a penal charge for breach of Maximum Import Capacity.</w:t>
      </w:r>
    </w:p>
    <w:p w14:paraId="7265697F" w14:textId="77777777" w:rsidR="00280ACD" w:rsidRDefault="00280ACD" w:rsidP="00280ACD">
      <w:pPr>
        <w:pStyle w:val="Heading3"/>
      </w:pPr>
      <w:r>
        <w:t>The change would add to the unfair effects of the CDCM/EDCM boundary</w:t>
      </w:r>
    </w:p>
    <w:p w14:paraId="378D349C" w14:textId="77777777" w:rsidR="00280ACD" w:rsidRDefault="00280ACD" w:rsidP="00280ACD">
      <w:pPr>
        <w:pStyle w:val="Text"/>
        <w:numPr>
          <w:ilvl w:val="1"/>
          <w:numId w:val="3"/>
        </w:numPr>
      </w:pPr>
      <w:r>
        <w:t>The change would increase charges for some CDCM half hourly sites, but not for any EDCM sites.  On average, CDCM HV charges are higher than EDCM HV charges.  This change would increase discrimination against large sites whose metering details are such that they happen to fall under the CDCM rather than the EDCM.</w:t>
      </w:r>
    </w:p>
    <w:p w14:paraId="3F2807BC" w14:textId="77777777" w:rsidR="00280ACD" w:rsidRDefault="00280ACD" w:rsidP="00280ACD">
      <w:pPr>
        <w:pStyle w:val="Heading3"/>
      </w:pPr>
      <w:r>
        <w:t>The change would intensify disputes between customers and DNOs, and increase administrative costs for customers and for the industry</w:t>
      </w:r>
    </w:p>
    <w:p w14:paraId="7DBD8093" w14:textId="77777777" w:rsidR="00280ACD" w:rsidRPr="003D3709" w:rsidRDefault="00280ACD" w:rsidP="00280ACD">
      <w:pPr>
        <w:pStyle w:val="Text"/>
        <w:numPr>
          <w:ilvl w:val="1"/>
          <w:numId w:val="3"/>
        </w:numPr>
      </w:pPr>
      <w:r>
        <w:t>There are disputes between DNO and customer in which the customer thinks that the actual agreed capacity covers their use but the DNO’s figure is lower.  Currently, such disputes are not urgent, as they do not affect charges significantly.  The change would intensify disputes by raising the cost to the customer of an incorrect DNO figure.</w:t>
      </w:r>
    </w:p>
    <w:p w14:paraId="69FA79F7" w14:textId="77777777" w:rsidR="00280ACD" w:rsidRDefault="00280ACD" w:rsidP="00280ACD">
      <w:pPr>
        <w:pStyle w:val="Text"/>
        <w:numPr>
          <w:ilvl w:val="1"/>
          <w:numId w:val="3"/>
        </w:numPr>
      </w:pPr>
      <w:r>
        <w:t>The current single rate for all capacity charges means that customers do not necessarily need to keep updating agreed capacity as their business grows.  Instead, they automatically get charged them for monthly maximum demand.  The change would kill this convenience, and require every increase in demand to be specifically negotiated, even when the network can easily accommodate the additional demand.</w:t>
      </w:r>
    </w:p>
    <w:p w14:paraId="4925EE98" w14:textId="01C1E347" w:rsidR="00280ACD" w:rsidRDefault="00C93266" w:rsidP="00280ACD">
      <w:pPr>
        <w:pStyle w:val="Text"/>
        <w:numPr>
          <w:ilvl w:val="1"/>
          <w:numId w:val="3"/>
        </w:numPr>
      </w:pPr>
      <w:r>
        <w:t xml:space="preserve">It is likely that </w:t>
      </w:r>
      <w:r w:rsidR="00280ACD" w:rsidRPr="00F377F2">
        <w:t>the change will require a programme of communication from the industry to customers.  Insofar as the costs of this are borne by suppliers, they will end up being recovered from customers through the normal operation of competitive supply markets.  The</w:t>
      </w:r>
      <w:r w:rsidR="00280ACD">
        <w:t xml:space="preserve">re is no </w:t>
      </w:r>
      <w:r w:rsidR="00280ACD" w:rsidRPr="00F377F2">
        <w:t xml:space="preserve">tangible benefit to </w:t>
      </w:r>
      <w:r w:rsidR="00280ACD">
        <w:t>justify these costs.</w:t>
      </w:r>
    </w:p>
    <w:sectPr w:rsidR="00280ACD" w:rsidSect="00A5429F">
      <w:footerReference w:type="default" r:id="rId14"/>
      <w:pgSz w:w="11900" w:h="16840"/>
      <w:pgMar w:top="1440" w:right="1440" w:bottom="1440" w:left="1440" w:header="835" w:footer="835"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C85E9" w14:textId="77777777" w:rsidR="008B1DF3" w:rsidRDefault="008B1DF3" w:rsidP="00932267">
      <w:pPr>
        <w:spacing w:after="0"/>
      </w:pPr>
      <w:r>
        <w:separator/>
      </w:r>
    </w:p>
  </w:endnote>
  <w:endnote w:type="continuationSeparator" w:id="0">
    <w:p w14:paraId="0439E184" w14:textId="77777777" w:rsidR="008B1DF3" w:rsidRDefault="008B1DF3" w:rsidP="00932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Courier">
    <w:panose1 w:val="02000500000000000000"/>
    <w:charset w:val="4D"/>
    <w:family w:val="modern"/>
    <w:notTrueType/>
    <w:pitch w:val="fixed"/>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ÇlÇr ÉSÉVÉbÉN"/>
    <w:panose1 w:val="00000000000000000000"/>
    <w:charset w:val="80"/>
    <w:family w:val="modern"/>
    <w:notTrueType/>
    <w:pitch w:val="fixed"/>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FACEF" w14:textId="4F362187" w:rsidR="00992466" w:rsidRDefault="00992466">
    <w:pPr>
      <w:pStyle w:val="Footer"/>
    </w:pPr>
    <w:proofErr w:type="gramStart"/>
    <w:r>
      <w:t>dcmf.co.uk</w:t>
    </w:r>
    <w:proofErr w:type="gramEnd"/>
    <w:r>
      <w:t>/</w:t>
    </w:r>
    <w:r w:rsidR="002A49D0">
      <w:t>alerts</w:t>
    </w:r>
    <w:r w:rsidRPr="008021FC">
      <w:tab/>
    </w:r>
    <w:r>
      <w:fldChar w:fldCharType="begin"/>
    </w:r>
    <w:r>
      <w:instrText xml:space="preserve"> PAGE  \* MERGEFORMAT </w:instrText>
    </w:r>
    <w:r>
      <w:fldChar w:fldCharType="separate"/>
    </w:r>
    <w:r w:rsidR="002F59B5">
      <w:rPr>
        <w:noProof/>
      </w:rPr>
      <w:t>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0451C" w14:textId="77777777" w:rsidR="008B1DF3" w:rsidRDefault="008B1DF3" w:rsidP="00932267">
      <w:pPr>
        <w:spacing w:after="0"/>
      </w:pPr>
      <w:r>
        <w:separator/>
      </w:r>
    </w:p>
  </w:footnote>
  <w:footnote w:type="continuationSeparator" w:id="0">
    <w:p w14:paraId="29A5388E" w14:textId="77777777" w:rsidR="008B1DF3" w:rsidRDefault="008B1DF3" w:rsidP="00932267">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196F3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A3BE4C6C"/>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21A3854"/>
    <w:lvl w:ilvl="0">
      <w:start w:val="1"/>
      <w:numFmt w:val="bullet"/>
      <w:lvlText w:val=""/>
      <w:lvlJc w:val="left"/>
      <w:pPr>
        <w:tabs>
          <w:tab w:val="num" w:pos="360"/>
        </w:tabs>
        <w:ind w:left="360" w:hanging="360"/>
      </w:pPr>
      <w:rPr>
        <w:rFonts w:ascii="Symbol" w:hAnsi="Symbol" w:hint="default"/>
      </w:rPr>
    </w:lvl>
  </w:abstractNum>
  <w:abstractNum w:abstractNumId="3">
    <w:nsid w:val="1FB87DBC"/>
    <w:multiLevelType w:val="multilevel"/>
    <w:tmpl w:val="17A6AED0"/>
    <w:lvl w:ilvl="0">
      <w:start w:val="1"/>
      <w:numFmt w:val="none"/>
      <w:pStyle w:val="Heading1"/>
      <w:suff w:val="nothing"/>
      <w:lvlText w:val=""/>
      <w:lvlJc w:val="left"/>
      <w:rPr>
        <w:rFonts w:hint="default"/>
      </w:rPr>
    </w:lvl>
    <w:lvl w:ilvl="1">
      <w:start w:val="1"/>
      <w:numFmt w:val="decimal"/>
      <w:lvlRestart w:val="0"/>
      <w:pStyle w:val="Text"/>
      <w:lvlText w:val="%2."/>
      <w:lvlJc w:val="left"/>
      <w:pPr>
        <w:tabs>
          <w:tab w:val="num" w:pos="720"/>
        </w:tabs>
        <w:ind w:left="720" w:hanging="720"/>
      </w:pPr>
      <w:rPr>
        <w:rFonts w:hint="default"/>
      </w:rPr>
    </w:lvl>
    <w:lvl w:ilvl="2">
      <w:start w:val="1"/>
      <w:numFmt w:val="lowerLetter"/>
      <w:pStyle w:val="ListBullet"/>
      <w:lvlText w:val="(%3)"/>
      <w:lvlJc w:val="left"/>
      <w:pPr>
        <w:tabs>
          <w:tab w:val="num" w:pos="1195"/>
        </w:tabs>
        <w:ind w:left="1195" w:hanging="475"/>
      </w:pPr>
      <w:rPr>
        <w:rFonts w:hint="default"/>
      </w:rPr>
    </w:lvl>
    <w:lvl w:ilvl="3">
      <w:start w:val="1"/>
      <w:numFmt w:val="lowerRoman"/>
      <w:pStyle w:val="ListBullet2"/>
      <w:lvlText w:val="(%4)"/>
      <w:lvlJc w:val="left"/>
      <w:pPr>
        <w:tabs>
          <w:tab w:val="num" w:pos="1685"/>
        </w:tabs>
        <w:ind w:left="1685" w:hanging="490"/>
      </w:pPr>
      <w:rPr>
        <w:rFonts w:hint="default"/>
        <w:color w:val="auto"/>
        <w:sz w:val="24"/>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color w:val="auto"/>
      </w:rPr>
    </w:lvl>
    <w:lvl w:ilvl="8">
      <w:start w:val="1"/>
      <w:numFmt w:val="bullet"/>
      <w:lvlText w:val=""/>
      <w:lvlJc w:val="left"/>
      <w:pPr>
        <w:tabs>
          <w:tab w:val="num" w:pos="3240"/>
        </w:tabs>
        <w:ind w:left="3240" w:hanging="360"/>
      </w:pPr>
      <w:rPr>
        <w:rFonts w:ascii="Symbol" w:hAnsi="Symbol" w:hint="default"/>
        <w:color w:val="auto"/>
      </w:rPr>
    </w:lvl>
  </w:abstractNum>
  <w:abstractNum w:abstractNumId="4">
    <w:nsid w:val="7F5B2626"/>
    <w:multiLevelType w:val="multilevel"/>
    <w:tmpl w:val="31B07D0A"/>
    <w:lvl w:ilvl="0">
      <w:start w:val="1"/>
      <w:numFmt w:val="decimal"/>
      <w:lvlText w:val="%1"/>
      <w:lvlJc w:val="left"/>
      <w:pPr>
        <w:tabs>
          <w:tab w:val="num" w:pos="432"/>
        </w:tabs>
        <w:ind w:left="432" w:hanging="432"/>
      </w:pPr>
      <w:rPr>
        <w:rFonts w:cs="Times New Roman"/>
        <w:b/>
        <w:sz w:val="22"/>
        <w:szCs w:val="22"/>
      </w:rPr>
    </w:lvl>
    <w:lvl w:ilvl="1">
      <w:start w:val="1"/>
      <w:numFmt w:val="bullet"/>
      <w:lvlText w:val=""/>
      <w:lvlJc w:val="left"/>
      <w:pPr>
        <w:tabs>
          <w:tab w:val="num" w:pos="860"/>
        </w:tabs>
        <w:ind w:left="860" w:hanging="576"/>
      </w:pPr>
      <w:rPr>
        <w:rFonts w:hAnsi="Symbol" w:hint="default"/>
        <w:b w:val="0"/>
        <w:i w:val="0"/>
        <w:smallCaps w:val="0"/>
        <w:strike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2"/>
  </w:num>
  <w:num w:numId="2">
    <w:abstractNumId w:val="1"/>
  </w:num>
  <w:num w:numId="3">
    <w:abstractNumId w:val="3"/>
  </w:num>
  <w:num w:numId="4">
    <w:abstractNumId w:val="2"/>
  </w:num>
  <w:num w:numId="5">
    <w:abstractNumId w:val="3"/>
  </w:num>
  <w:num w:numId="6">
    <w:abstractNumId w:val="1"/>
  </w:num>
  <w:num w:numId="7">
    <w:abstractNumId w:val="3"/>
  </w:num>
  <w:num w:numId="8">
    <w:abstractNumId w:val="3"/>
  </w:num>
  <w:num w:numId="9">
    <w:abstractNumId w:val="3"/>
  </w:num>
  <w:num w:numId="10">
    <w:abstractNumId w:val="3"/>
  </w:num>
  <w:num w:numId="11">
    <w:abstractNumId w:val="3"/>
  </w:num>
  <w:num w:numId="12">
    <w:abstractNumId w:val="3"/>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8B1DF3"/>
    <w:rsid w:val="00027422"/>
    <w:rsid w:val="000333F4"/>
    <w:rsid w:val="00046989"/>
    <w:rsid w:val="000669E4"/>
    <w:rsid w:val="0007301C"/>
    <w:rsid w:val="000E0E10"/>
    <w:rsid w:val="00103AFF"/>
    <w:rsid w:val="00123180"/>
    <w:rsid w:val="00123576"/>
    <w:rsid w:val="00125EA9"/>
    <w:rsid w:val="001379BE"/>
    <w:rsid w:val="00137EB9"/>
    <w:rsid w:val="001653E9"/>
    <w:rsid w:val="001A76F5"/>
    <w:rsid w:val="001C30B4"/>
    <w:rsid w:val="001C4608"/>
    <w:rsid w:val="001E5820"/>
    <w:rsid w:val="00262D52"/>
    <w:rsid w:val="00280ACD"/>
    <w:rsid w:val="002A49D0"/>
    <w:rsid w:val="002B6F53"/>
    <w:rsid w:val="002F59B5"/>
    <w:rsid w:val="00355C86"/>
    <w:rsid w:val="00393C0B"/>
    <w:rsid w:val="003D055C"/>
    <w:rsid w:val="003D3709"/>
    <w:rsid w:val="004147B7"/>
    <w:rsid w:val="004661C2"/>
    <w:rsid w:val="004C16B4"/>
    <w:rsid w:val="004D3891"/>
    <w:rsid w:val="004D48F8"/>
    <w:rsid w:val="004E6A88"/>
    <w:rsid w:val="005506FA"/>
    <w:rsid w:val="00563FA8"/>
    <w:rsid w:val="005F375E"/>
    <w:rsid w:val="005F4B16"/>
    <w:rsid w:val="00616E88"/>
    <w:rsid w:val="00631F58"/>
    <w:rsid w:val="00636AB9"/>
    <w:rsid w:val="00645813"/>
    <w:rsid w:val="00654360"/>
    <w:rsid w:val="0066218D"/>
    <w:rsid w:val="00671BBE"/>
    <w:rsid w:val="00673DFE"/>
    <w:rsid w:val="00677898"/>
    <w:rsid w:val="00692D3E"/>
    <w:rsid w:val="006A4E0E"/>
    <w:rsid w:val="006C6CAD"/>
    <w:rsid w:val="006C74D5"/>
    <w:rsid w:val="00723922"/>
    <w:rsid w:val="007A1C31"/>
    <w:rsid w:val="007A58EC"/>
    <w:rsid w:val="007B4632"/>
    <w:rsid w:val="00800938"/>
    <w:rsid w:val="008137C8"/>
    <w:rsid w:val="00830F73"/>
    <w:rsid w:val="008369C8"/>
    <w:rsid w:val="008620BE"/>
    <w:rsid w:val="00871859"/>
    <w:rsid w:val="00887D4D"/>
    <w:rsid w:val="00895176"/>
    <w:rsid w:val="008A05A5"/>
    <w:rsid w:val="008A4F7C"/>
    <w:rsid w:val="008B1DF3"/>
    <w:rsid w:val="008C0EF0"/>
    <w:rsid w:val="008E6661"/>
    <w:rsid w:val="00930C22"/>
    <w:rsid w:val="00932267"/>
    <w:rsid w:val="0095680E"/>
    <w:rsid w:val="00961F54"/>
    <w:rsid w:val="00975266"/>
    <w:rsid w:val="00992466"/>
    <w:rsid w:val="009C2405"/>
    <w:rsid w:val="009D4536"/>
    <w:rsid w:val="009F1DB7"/>
    <w:rsid w:val="009F50F0"/>
    <w:rsid w:val="009F6360"/>
    <w:rsid w:val="00A045BC"/>
    <w:rsid w:val="00A5429F"/>
    <w:rsid w:val="00A65744"/>
    <w:rsid w:val="00AD478C"/>
    <w:rsid w:val="00AD5EE9"/>
    <w:rsid w:val="00B0663C"/>
    <w:rsid w:val="00B06763"/>
    <w:rsid w:val="00B31B53"/>
    <w:rsid w:val="00B31B90"/>
    <w:rsid w:val="00B37C43"/>
    <w:rsid w:val="00B47E33"/>
    <w:rsid w:val="00B572C0"/>
    <w:rsid w:val="00B80214"/>
    <w:rsid w:val="00BC208C"/>
    <w:rsid w:val="00BD0346"/>
    <w:rsid w:val="00C11E19"/>
    <w:rsid w:val="00C273EE"/>
    <w:rsid w:val="00C93266"/>
    <w:rsid w:val="00CD59B8"/>
    <w:rsid w:val="00D1009D"/>
    <w:rsid w:val="00D62425"/>
    <w:rsid w:val="00D844C1"/>
    <w:rsid w:val="00D944ED"/>
    <w:rsid w:val="00DD3A99"/>
    <w:rsid w:val="00DE03CF"/>
    <w:rsid w:val="00E10DA0"/>
    <w:rsid w:val="00E1646F"/>
    <w:rsid w:val="00E44788"/>
    <w:rsid w:val="00E479CF"/>
    <w:rsid w:val="00E70261"/>
    <w:rsid w:val="00E871CE"/>
    <w:rsid w:val="00E9361D"/>
    <w:rsid w:val="00EB1123"/>
    <w:rsid w:val="00ED53D0"/>
    <w:rsid w:val="00EE1C12"/>
    <w:rsid w:val="00EF3F7F"/>
    <w:rsid w:val="00F377F2"/>
    <w:rsid w:val="00F75AF7"/>
    <w:rsid w:val="00FB3676"/>
    <w:rsid w:val="00FD3EA9"/>
    <w:rsid w:val="00FF3BC3"/>
    <w:rsid w:val="00FF7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99E6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rsid w:val="00123180"/>
    <w:pPr>
      <w:keepNext/>
      <w:numPr>
        <w:numId w:val="3"/>
      </w:numPr>
      <w:tabs>
        <w:tab w:val="right" w:pos="9000"/>
      </w:tabs>
      <w:jc w:val="left"/>
      <w:outlineLvl w:val="0"/>
    </w:pPr>
    <w:rPr>
      <w:rFonts w:ascii="Arial" w:hAnsi="Arial"/>
      <w:b/>
      <w:kern w:val="0"/>
      <w:sz w:val="28"/>
      <w:szCs w:val="24"/>
      <w:lang w:eastAsia="ja-JP"/>
    </w:rPr>
  </w:style>
  <w:style w:type="paragraph" w:styleId="Heading2">
    <w:name w:val="heading 2"/>
    <w:basedOn w:val="Normal"/>
    <w:next w:val="Text"/>
    <w:link w:val="Heading2Char"/>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paragraph" w:customStyle="1" w:styleId="Table10BC">
    <w:name w:val="Table 10BC"/>
    <w:basedOn w:val="Table"/>
    <w:rsid w:val="008B1DF3"/>
    <w:pPr>
      <w:jc w:val="center"/>
    </w:pPr>
    <w:rPr>
      <w:b/>
      <w:sz w:val="20"/>
    </w:rPr>
  </w:style>
  <w:style w:type="character" w:customStyle="1" w:styleId="Heading2Char">
    <w:name w:val="Heading 2 Char"/>
    <w:basedOn w:val="DefaultParagraphFont"/>
    <w:link w:val="Heading2"/>
    <w:rsid w:val="002A49D0"/>
    <w:rPr>
      <w:rFonts w:ascii="Arial" w:hAnsi="Arial"/>
      <w:b/>
      <w:color w:val="333333"/>
      <w:sz w:val="22"/>
      <w:lang w:val="en-GB"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kern w:val="14"/>
      <w:sz w:val="24"/>
      <w:lang w:val="en-GB" w:bidi="en-US"/>
    </w:rPr>
  </w:style>
  <w:style w:type="paragraph" w:styleId="Heading1">
    <w:name w:val="heading 1"/>
    <w:basedOn w:val="Normal"/>
    <w:next w:val="Text"/>
    <w:qFormat/>
    <w:rsid w:val="00123180"/>
    <w:pPr>
      <w:keepNext/>
      <w:numPr>
        <w:numId w:val="3"/>
      </w:numPr>
      <w:tabs>
        <w:tab w:val="right" w:pos="9000"/>
      </w:tabs>
      <w:jc w:val="left"/>
      <w:outlineLvl w:val="0"/>
    </w:pPr>
    <w:rPr>
      <w:rFonts w:ascii="Arial" w:hAnsi="Arial"/>
      <w:b/>
      <w:kern w:val="0"/>
      <w:sz w:val="28"/>
      <w:szCs w:val="24"/>
      <w:lang w:eastAsia="ja-JP"/>
    </w:rPr>
  </w:style>
  <w:style w:type="paragraph" w:styleId="Heading2">
    <w:name w:val="heading 2"/>
    <w:basedOn w:val="Normal"/>
    <w:next w:val="Text"/>
    <w:link w:val="Heading2Char"/>
    <w:qFormat/>
    <w:rsid w:val="00355C86"/>
    <w:pPr>
      <w:keepNext/>
      <w:jc w:val="left"/>
      <w:outlineLvl w:val="1"/>
    </w:pPr>
    <w:rPr>
      <w:rFonts w:ascii="Arial" w:hAnsi="Arial"/>
      <w:b/>
      <w:color w:val="333333"/>
      <w:kern w:val="0"/>
      <w:sz w:val="22"/>
    </w:rPr>
  </w:style>
  <w:style w:type="paragraph" w:styleId="Heading3">
    <w:name w:val="heading 3"/>
    <w:basedOn w:val="Normal"/>
    <w:next w:val="Text"/>
    <w:qFormat/>
    <w:rsid w:val="00F51716"/>
    <w:pPr>
      <w:keepNext/>
      <w:jc w:val="left"/>
      <w:outlineLvl w:val="2"/>
    </w:pPr>
    <w:rPr>
      <w:rFonts w:cs="Arial"/>
      <w:b/>
      <w:color w:val="333333"/>
      <w:kern w:val="0"/>
      <w:sz w:val="22"/>
      <w:szCs w:val="18"/>
    </w:rPr>
  </w:style>
  <w:style w:type="paragraph" w:styleId="Heading4">
    <w:name w:val="heading 4"/>
    <w:basedOn w:val="Normal"/>
    <w:next w:val="Normal"/>
    <w:qFormat/>
    <w:pPr>
      <w:keepNext/>
      <w:jc w:val="left"/>
      <w:outlineLvl w:val="3"/>
    </w:pPr>
    <w:rPr>
      <w:i/>
      <w:shd w:val="clear" w:color="FFFFFF" w:fil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0"/>
      <w:jc w:val="left"/>
    </w:pPr>
  </w:style>
  <w:style w:type="paragraph" w:styleId="Caption">
    <w:name w:val="caption"/>
    <w:basedOn w:val="Normal"/>
    <w:next w:val="Table"/>
    <w:qFormat/>
    <w:pPr>
      <w:keepNext/>
      <w:keepLines/>
      <w:tabs>
        <w:tab w:val="left" w:pos="1080"/>
      </w:tabs>
      <w:ind w:left="1080" w:hanging="1080"/>
      <w:jc w:val="left"/>
      <w:outlineLvl w:val="4"/>
    </w:pPr>
    <w:rPr>
      <w:rFonts w:eastAsia="MS Mincho"/>
      <w:b/>
      <w:sz w:val="22"/>
    </w:rPr>
  </w:style>
  <w:style w:type="paragraph" w:customStyle="1" w:styleId="Code">
    <w:name w:val="Code"/>
    <w:basedOn w:val="BodyText"/>
    <w:rPr>
      <w:rFonts w:ascii="Courier" w:hAnsi="Courier"/>
      <w:sz w:val="16"/>
    </w:rPr>
  </w:style>
  <w:style w:type="paragraph" w:customStyle="1" w:styleId="DocumentControl">
    <w:name w:val="Document Control"/>
    <w:basedOn w:val="Normal"/>
    <w:pPr>
      <w:tabs>
        <w:tab w:val="left" w:pos="1786"/>
        <w:tab w:val="left" w:pos="9000"/>
      </w:tabs>
      <w:spacing w:after="0" w:line="240" w:lineRule="exact"/>
      <w:jc w:val="left"/>
    </w:pPr>
    <w:rPr>
      <w:rFonts w:ascii="Arial Black" w:hAnsi="Arial Black"/>
      <w:kern w:val="20"/>
      <w:sz w:val="20"/>
    </w:rPr>
  </w:style>
  <w:style w:type="paragraph" w:styleId="DocumentMap">
    <w:name w:val="Document Map"/>
    <w:basedOn w:val="Normal"/>
    <w:semiHidden/>
    <w:pPr>
      <w:shd w:val="clear" w:color="auto" w:fill="000080"/>
      <w:tabs>
        <w:tab w:val="num" w:pos="720"/>
      </w:tabs>
      <w:ind w:left="720" w:hanging="720"/>
    </w:pPr>
    <w:rPr>
      <w:rFonts w:ascii="Tahoma" w:eastAsia="MS Gothic" w:hAnsi="Tahoma"/>
      <w:sz w:val="18"/>
    </w:rPr>
  </w:style>
  <w:style w:type="paragraph" w:customStyle="1" w:styleId="DraftingNote">
    <w:name w:val="Drafting Note"/>
    <w:basedOn w:val="Normal"/>
    <w:rPr>
      <w:i/>
      <w:color w:val="FF0000"/>
      <w:shd w:val="clear" w:color="FFFFFF" w:fill="FFFF99"/>
    </w:rPr>
  </w:style>
  <w:style w:type="character" w:customStyle="1" w:styleId="DraftingNoteChar">
    <w:name w:val="Drafting Note Char"/>
    <w:basedOn w:val="DefaultParagraphFont"/>
    <w:rPr>
      <w:rFonts w:cs="Times New Roman"/>
      <w:i/>
      <w:color w:val="FF0000"/>
      <w:kern w:val="14"/>
      <w:sz w:val="24"/>
      <w:shd w:val="clear" w:color="FFFFFF" w:fill="FFFF99"/>
      <w:lang w:val="en-GB" w:eastAsia="en-US"/>
    </w:rPr>
  </w:style>
  <w:style w:type="paragraph" w:customStyle="1" w:styleId="Equation">
    <w:name w:val="Equation"/>
    <w:basedOn w:val="BodyText"/>
    <w:pPr>
      <w:tabs>
        <w:tab w:val="right" w:pos="8640"/>
      </w:tabs>
      <w:spacing w:after="240"/>
      <w:ind w:left="1080"/>
    </w:pPr>
  </w:style>
  <w:style w:type="paragraph" w:customStyle="1" w:styleId="Eqwhere">
    <w:name w:val="Eqwhere"/>
    <w:basedOn w:val="BodyText"/>
    <w:pPr>
      <w:spacing w:after="240"/>
      <w:ind w:left="720"/>
    </w:pPr>
  </w:style>
  <w:style w:type="character" w:styleId="FollowedHyperlink">
    <w:name w:val="FollowedHyperlink"/>
    <w:basedOn w:val="DefaultParagraphFont"/>
    <w:rPr>
      <w:rFonts w:cs="Times New Roman"/>
      <w:color w:val="auto"/>
      <w:u w:val="none"/>
    </w:rPr>
  </w:style>
  <w:style w:type="paragraph" w:styleId="Header">
    <w:name w:val="header"/>
    <w:basedOn w:val="Normal"/>
    <w:pPr>
      <w:tabs>
        <w:tab w:val="right" w:pos="9000"/>
      </w:tabs>
      <w:spacing w:after="0" w:line="240" w:lineRule="exact"/>
      <w:jc w:val="left"/>
    </w:pPr>
    <w:rPr>
      <w:rFonts w:ascii="Arial" w:hAnsi="Arial"/>
      <w:color w:val="0066CC"/>
      <w:kern w:val="18"/>
      <w:sz w:val="18"/>
    </w:rPr>
  </w:style>
  <w:style w:type="paragraph" w:styleId="Footer">
    <w:name w:val="footer"/>
    <w:basedOn w:val="Header"/>
    <w:semiHidden/>
  </w:style>
  <w:style w:type="character" w:styleId="FootnoteReference">
    <w:name w:val="footnote reference"/>
    <w:basedOn w:val="DefaultParagraphFont"/>
    <w:semiHidden/>
    <w:rPr>
      <w:rFonts w:cs="Times New Roman"/>
      <w:vertAlign w:val="superscript"/>
    </w:rPr>
  </w:style>
  <w:style w:type="paragraph" w:styleId="FootnoteText">
    <w:name w:val="footnote text"/>
    <w:basedOn w:val="Normal"/>
    <w:semiHidden/>
    <w:pPr>
      <w:tabs>
        <w:tab w:val="left" w:pos="180"/>
      </w:tabs>
      <w:spacing w:after="0"/>
      <w:ind w:left="180" w:hanging="180"/>
      <w:jc w:val="left"/>
    </w:pPr>
    <w:rPr>
      <w:sz w:val="18"/>
    </w:rPr>
  </w:style>
  <w:style w:type="paragraph" w:customStyle="1" w:styleId="Hidden">
    <w:name w:val="Hidden"/>
    <w:basedOn w:val="DocumentControl"/>
    <w:rPr>
      <w:vanish/>
      <w:color w:val="FF6633"/>
    </w:rPr>
  </w:style>
  <w:style w:type="character" w:styleId="Hyperlink">
    <w:name w:val="Hyperlink"/>
    <w:basedOn w:val="DefaultParagraphFont"/>
    <w:rPr>
      <w:rFonts w:cs="Times New Roman"/>
      <w:color w:val="auto"/>
    </w:rPr>
  </w:style>
  <w:style w:type="paragraph" w:styleId="ListBullet">
    <w:name w:val="List Bullet"/>
    <w:basedOn w:val="Normal"/>
    <w:pPr>
      <w:numPr>
        <w:ilvl w:val="2"/>
        <w:numId w:val="10"/>
      </w:numPr>
    </w:pPr>
  </w:style>
  <w:style w:type="paragraph" w:styleId="ListBullet2">
    <w:name w:val="List Bullet 2"/>
    <w:basedOn w:val="Normal"/>
    <w:pPr>
      <w:numPr>
        <w:ilvl w:val="3"/>
        <w:numId w:val="10"/>
      </w:numPr>
    </w:pPr>
  </w:style>
  <w:style w:type="paragraph" w:styleId="PlainText">
    <w:name w:val="Plain Text"/>
    <w:basedOn w:val="Normal"/>
    <w:rPr>
      <w:rFonts w:ascii="Courier" w:hAnsi="Courier"/>
      <w:szCs w:val="24"/>
    </w:rPr>
  </w:style>
  <w:style w:type="paragraph" w:customStyle="1" w:styleId="Quotation">
    <w:name w:val="Quotation"/>
    <w:basedOn w:val="BodyText"/>
    <w:pPr>
      <w:spacing w:after="240"/>
      <w:ind w:left="1080" w:right="360"/>
      <w:jc w:val="both"/>
    </w:pPr>
    <w:rPr>
      <w:spacing w:val="-4"/>
      <w:kern w:val="20"/>
    </w:rPr>
  </w:style>
  <w:style w:type="paragraph" w:customStyle="1" w:styleId="Table">
    <w:name w:val="Table"/>
    <w:basedOn w:val="Normal"/>
    <w:rsid w:val="00ED53D0"/>
    <w:pPr>
      <w:tabs>
        <w:tab w:val="num" w:pos="720"/>
      </w:tabs>
      <w:spacing w:before="60" w:after="60"/>
      <w:jc w:val="left"/>
    </w:pPr>
    <w:rPr>
      <w:sz w:val="22"/>
    </w:rPr>
  </w:style>
  <w:style w:type="table" w:styleId="TableGrid">
    <w:name w:val="Table Grid"/>
    <w:basedOn w:val="TableNormal"/>
    <w:pPr>
      <w:spacing w:after="240"/>
      <w:jc w:val="both"/>
    </w:pPr>
    <w:rPr>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astNote">
    <w:name w:val="Table Last Note"/>
    <w:basedOn w:val="Normal"/>
    <w:pPr>
      <w:keepLines/>
      <w:tabs>
        <w:tab w:val="num" w:pos="0"/>
      </w:tabs>
      <w:spacing w:before="40"/>
    </w:pPr>
    <w:rPr>
      <w:rFonts w:cs="Arial"/>
      <w:sz w:val="18"/>
      <w:szCs w:val="24"/>
    </w:rPr>
  </w:style>
  <w:style w:type="paragraph" w:customStyle="1" w:styleId="TableNotes">
    <w:name w:val="Table Notes"/>
    <w:basedOn w:val="Normal"/>
    <w:pPr>
      <w:keepNext/>
      <w:keepLines/>
      <w:tabs>
        <w:tab w:val="num" w:pos="720"/>
      </w:tabs>
      <w:spacing w:before="40" w:after="40"/>
    </w:pPr>
    <w:rPr>
      <w:i/>
      <w:sz w:val="18"/>
    </w:rPr>
  </w:style>
  <w:style w:type="paragraph" w:customStyle="1" w:styleId="Text">
    <w:name w:val="Text"/>
    <w:basedOn w:val="Normal"/>
    <w:pPr>
      <w:numPr>
        <w:ilvl w:val="1"/>
        <w:numId w:val="10"/>
      </w:numPr>
    </w:pPr>
  </w:style>
  <w:style w:type="paragraph" w:styleId="TOC1">
    <w:name w:val="toc 1"/>
    <w:basedOn w:val="Normal"/>
    <w:next w:val="Normal"/>
    <w:autoRedefine/>
    <w:semiHidden/>
    <w:pPr>
      <w:keepNext/>
      <w:tabs>
        <w:tab w:val="left" w:pos="353"/>
        <w:tab w:val="right" w:leader="dot" w:pos="9000"/>
      </w:tabs>
      <w:spacing w:before="180" w:after="0"/>
      <w:ind w:left="360" w:right="374" w:hanging="360"/>
      <w:jc w:val="left"/>
    </w:pPr>
    <w:rPr>
      <w:rFonts w:ascii="Arial" w:hAnsi="Arial"/>
      <w:b/>
      <w:noProof/>
      <w:kern w:val="0"/>
      <w:sz w:val="22"/>
    </w:rPr>
  </w:style>
  <w:style w:type="paragraph" w:styleId="TOC2">
    <w:name w:val="toc 2"/>
    <w:basedOn w:val="Normal"/>
    <w:next w:val="Normal"/>
    <w:autoRedefine/>
    <w:semiHidden/>
    <w:pPr>
      <w:tabs>
        <w:tab w:val="right" w:leader="dot" w:pos="9000"/>
      </w:tabs>
      <w:spacing w:before="240" w:after="0"/>
      <w:ind w:right="360"/>
      <w:jc w:val="left"/>
    </w:pPr>
    <w:rPr>
      <w:b/>
      <w:noProof/>
      <w:kern w:val="0"/>
      <w:sz w:val="22"/>
    </w:rPr>
  </w:style>
  <w:style w:type="paragraph" w:styleId="TOC3">
    <w:name w:val="toc 3"/>
    <w:basedOn w:val="Normal"/>
    <w:next w:val="Normal"/>
    <w:autoRedefine/>
    <w:semiHidden/>
    <w:pPr>
      <w:tabs>
        <w:tab w:val="right" w:leader="dot" w:pos="9000"/>
      </w:tabs>
      <w:spacing w:after="0"/>
      <w:ind w:right="380"/>
    </w:pPr>
    <w:rPr>
      <w:noProof/>
      <w:sz w:val="18"/>
    </w:rPr>
  </w:style>
  <w:style w:type="paragraph" w:styleId="TOCHeading">
    <w:name w:val="TOC Heading"/>
    <w:basedOn w:val="TOC1"/>
    <w:qFormat/>
    <w:pPr>
      <w:ind w:right="0"/>
    </w:pPr>
  </w:style>
  <w:style w:type="paragraph" w:customStyle="1" w:styleId="Default">
    <w:name w:val="Default"/>
    <w:rsid w:val="008A3EC3"/>
    <w:pPr>
      <w:autoSpaceDE w:val="0"/>
      <w:autoSpaceDN w:val="0"/>
      <w:adjustRightInd w:val="0"/>
    </w:pPr>
    <w:rPr>
      <w:rFonts w:ascii="Verdana" w:hAnsi="Verdana" w:cs="Verdana"/>
      <w:color w:val="000000"/>
      <w:sz w:val="24"/>
      <w:szCs w:val="24"/>
      <w:lang w:bidi="en-US"/>
    </w:rPr>
  </w:style>
  <w:style w:type="paragraph" w:customStyle="1" w:styleId="TableCV">
    <w:name w:val="Table CV"/>
    <w:basedOn w:val="TableNotes"/>
    <w:rsid w:val="00123576"/>
    <w:pPr>
      <w:keepNext w:val="0"/>
      <w:spacing w:after="0"/>
    </w:pPr>
    <w:rPr>
      <w:i w:val="0"/>
      <w:sz w:val="24"/>
      <w:szCs w:val="24"/>
    </w:rPr>
  </w:style>
  <w:style w:type="paragraph" w:customStyle="1" w:styleId="TableCVStrong">
    <w:name w:val="Table CV Strong"/>
    <w:basedOn w:val="TableCV"/>
    <w:next w:val="TableCV"/>
    <w:rsid w:val="00123576"/>
    <w:pPr>
      <w:spacing w:before="240"/>
    </w:pPr>
    <w:rPr>
      <w:b/>
    </w:rPr>
  </w:style>
  <w:style w:type="paragraph" w:customStyle="1" w:styleId="TableCVTitle">
    <w:name w:val="Table CV Title"/>
    <w:basedOn w:val="TableCV"/>
    <w:rsid w:val="00123576"/>
    <w:pPr>
      <w:spacing w:before="0" w:after="200"/>
    </w:pPr>
    <w:rPr>
      <w:rFonts w:ascii="Arial Black" w:hAnsi="Arial Black"/>
      <w:sz w:val="28"/>
      <w:szCs w:val="28"/>
    </w:rPr>
  </w:style>
  <w:style w:type="paragraph" w:customStyle="1" w:styleId="tablenote">
    <w:name w:val="table note"/>
    <w:basedOn w:val="Text"/>
    <w:rsid w:val="00CD59B8"/>
  </w:style>
  <w:style w:type="paragraph" w:customStyle="1" w:styleId="Masthead">
    <w:name w:val="Masthead"/>
    <w:basedOn w:val="Normal"/>
    <w:rsid w:val="004D3891"/>
    <w:pPr>
      <w:numPr>
        <w:numId w:val="3"/>
      </w:numPr>
      <w:tabs>
        <w:tab w:val="right" w:pos="9000"/>
      </w:tabs>
      <w:outlineLvl w:val="3"/>
    </w:pPr>
    <w:rPr>
      <w:rFonts w:ascii="Arial" w:hAnsi="Arial"/>
      <w:b/>
      <w:sz w:val="20"/>
    </w:rPr>
  </w:style>
  <w:style w:type="paragraph" w:customStyle="1" w:styleId="Table10BC">
    <w:name w:val="Table 10BC"/>
    <w:basedOn w:val="Table"/>
    <w:rsid w:val="008B1DF3"/>
    <w:pPr>
      <w:jc w:val="center"/>
    </w:pPr>
    <w:rPr>
      <w:b/>
      <w:sz w:val="20"/>
    </w:rPr>
  </w:style>
  <w:style w:type="character" w:customStyle="1" w:styleId="Heading2Char">
    <w:name w:val="Heading 2 Char"/>
    <w:basedOn w:val="DefaultParagraphFont"/>
    <w:link w:val="Heading2"/>
    <w:rsid w:val="002A49D0"/>
    <w:rPr>
      <w:rFonts w:ascii="Arial" w:hAnsi="Arial"/>
      <w:b/>
      <w:color w:val="333333"/>
      <w:sz w:val="22"/>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041">
      <w:bodyDiv w:val="1"/>
      <w:marLeft w:val="0"/>
      <w:marRight w:val="0"/>
      <w:marTop w:val="0"/>
      <w:marBottom w:val="0"/>
      <w:divBdr>
        <w:top w:val="none" w:sz="0" w:space="0" w:color="auto"/>
        <w:left w:val="none" w:sz="0" w:space="0" w:color="auto"/>
        <w:bottom w:val="none" w:sz="0" w:space="0" w:color="auto"/>
        <w:right w:val="none" w:sz="0" w:space="0" w:color="auto"/>
      </w:divBdr>
    </w:div>
    <w:div w:id="1141196175">
      <w:bodyDiv w:val="1"/>
      <w:marLeft w:val="0"/>
      <w:marRight w:val="0"/>
      <w:marTop w:val="0"/>
      <w:marBottom w:val="0"/>
      <w:divBdr>
        <w:top w:val="none" w:sz="0" w:space="0" w:color="auto"/>
        <w:left w:val="none" w:sz="0" w:space="0" w:color="auto"/>
        <w:bottom w:val="none" w:sz="0" w:space="0" w:color="auto"/>
        <w:right w:val="none" w:sz="0" w:space="0" w:color="auto"/>
      </w:divBdr>
    </w:div>
    <w:div w:id="15669858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yperlink" Target="mailto:f20@reckon.co.uk" TargetMode="External"/><Relationship Id="rId13" Type="http://schemas.openxmlformats.org/officeDocument/2006/relationships/hyperlink" Target="http://dcmf.co.uk/models/dcp161.html"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ck:Documents:Projects:Templates:Ale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Alert.dotx</Template>
  <TotalTime>3</TotalTime>
  <Pages>4</Pages>
  <Words>1483</Words>
  <Characters>8458</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 Latrémolière (Reckon)</dc:creator>
  <cp:keywords/>
  <dc:description/>
  <cp:lastModifiedBy>Franck Latrémolière (Reckon)</cp:lastModifiedBy>
  <cp:revision>3</cp:revision>
  <cp:lastPrinted>2014-07-01T09:23:00Z</cp:lastPrinted>
  <dcterms:created xsi:type="dcterms:W3CDTF">2014-07-01T09:20:00Z</dcterms:created>
  <dcterms:modified xsi:type="dcterms:W3CDTF">2014-07-01T09:23:00Z</dcterms:modified>
  <cp:category/>
</cp:coreProperties>
</file>