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AA9BC" w14:textId="77777777" w:rsidR="00355C86" w:rsidRPr="004D3891" w:rsidRDefault="005C7889" w:rsidP="004D3891">
      <w:pPr>
        <w:pStyle w:val="Masthead"/>
      </w:pPr>
      <w:r>
        <w:fldChar w:fldCharType="begin"/>
      </w:r>
      <w:r>
        <w:instrText xml:space="preserve"> MACROBUTTON "" </w:instrText>
      </w:r>
      <w:r w:rsidRPr="004D3891">
        <w:instrText>Reckon LLP electricity customer</w:instrText>
      </w:r>
      <w:r>
        <w:instrText xml:space="preserve"> alert </w:instrText>
      </w:r>
      <w:r>
        <w:fldChar w:fldCharType="end"/>
      </w:r>
      <w:r w:rsidR="00123180">
        <w:tab/>
      </w:r>
      <w:r w:rsidR="003D4D3E">
        <w:t>DCP 183</w:t>
      </w:r>
      <w:r w:rsidR="00123180">
        <w:t xml:space="preserve"> </w:t>
      </w:r>
      <w:r w:rsidR="00992466" w:rsidRPr="004D3891">
        <w:t xml:space="preserve">— </w:t>
      </w:r>
      <w:r w:rsidR="00123180" w:rsidRPr="00AB6F30">
        <w:fldChar w:fldCharType="begin"/>
      </w:r>
      <w:r w:rsidR="00123180" w:rsidRPr="00AB6F30">
        <w:instrText xml:space="preserve"> SAVEDATE \@ "d MMMM yyyy" </w:instrText>
      </w:r>
      <w:r w:rsidR="00123180" w:rsidRPr="00AB6F30">
        <w:fldChar w:fldCharType="separate"/>
      </w:r>
      <w:r w:rsidR="00D91256">
        <w:rPr>
          <w:noProof/>
        </w:rPr>
        <w:t>6 October 2014</w:t>
      </w:r>
      <w:r w:rsidR="00123180" w:rsidRPr="00AB6F30">
        <w:fldChar w:fldCharType="end"/>
      </w:r>
    </w:p>
    <w:p w14:paraId="44BE36B0" w14:textId="77777777" w:rsidR="009F50F0" w:rsidRPr="00355C86" w:rsidRDefault="003D4D3E" w:rsidP="00355C86">
      <w:pPr>
        <w:pStyle w:val="Heading1"/>
        <w:rPr>
          <w:b w:val="0"/>
        </w:rPr>
      </w:pPr>
      <w:r>
        <w:t>Proposed changes to the treatment of reactive power in the EDCM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36"/>
        <w:gridCol w:w="2160"/>
        <w:gridCol w:w="236"/>
        <w:gridCol w:w="2160"/>
        <w:gridCol w:w="236"/>
        <w:gridCol w:w="2160"/>
      </w:tblGrid>
      <w:tr w:rsidR="00645813" w:rsidRPr="008137C8" w14:paraId="0EE526BE" w14:textId="77777777" w:rsidTr="00645813">
        <w:trPr>
          <w:jc w:val="center"/>
        </w:trPr>
        <w:tc>
          <w:tcPr>
            <w:tcW w:w="2160" w:type="dxa"/>
            <w:shd w:val="clear" w:color="auto" w:fill="DAEEF3" w:themeFill="accent5" w:themeFillTint="33"/>
            <w:vAlign w:val="bottom"/>
          </w:tcPr>
          <w:p w14:paraId="5044C9EA" w14:textId="77777777" w:rsidR="00645813" w:rsidRPr="00616E88" w:rsidRDefault="00645813" w:rsidP="00600940">
            <w:pPr>
              <w:pStyle w:val="Table10BC"/>
            </w:pPr>
            <w:r w:rsidRPr="00616E88">
              <w:t>Domestic customers</w:t>
            </w:r>
          </w:p>
        </w:tc>
        <w:tc>
          <w:tcPr>
            <w:tcW w:w="0" w:type="dxa"/>
            <w:shd w:val="clear" w:color="auto" w:fill="auto"/>
          </w:tcPr>
          <w:p w14:paraId="7A02F6E3" w14:textId="77777777" w:rsidR="00645813" w:rsidRPr="00616E88" w:rsidRDefault="00645813" w:rsidP="00600940">
            <w:pPr>
              <w:pStyle w:val="Table10BC"/>
            </w:pPr>
          </w:p>
        </w:tc>
        <w:tc>
          <w:tcPr>
            <w:tcW w:w="2160" w:type="dxa"/>
            <w:shd w:val="clear" w:color="auto" w:fill="EAF1DD" w:themeFill="accent3" w:themeFillTint="33"/>
            <w:vAlign w:val="bottom"/>
          </w:tcPr>
          <w:p w14:paraId="5EC65D58" w14:textId="77777777" w:rsidR="00645813" w:rsidRPr="00616E88" w:rsidRDefault="00645813" w:rsidP="00600940">
            <w:pPr>
              <w:pStyle w:val="Table10BC"/>
            </w:pPr>
            <w:r w:rsidRPr="00616E88">
              <w:t>Non half hourly</w:t>
            </w:r>
            <w:r>
              <w:t xml:space="preserve"> business customers</w:t>
            </w:r>
          </w:p>
        </w:tc>
        <w:tc>
          <w:tcPr>
            <w:tcW w:w="0" w:type="dxa"/>
            <w:shd w:val="clear" w:color="auto" w:fill="auto"/>
          </w:tcPr>
          <w:p w14:paraId="7AF7F4F9" w14:textId="77777777" w:rsidR="00645813" w:rsidRPr="00616E88" w:rsidRDefault="00645813" w:rsidP="00600940">
            <w:pPr>
              <w:pStyle w:val="Table10BC"/>
            </w:pPr>
          </w:p>
        </w:tc>
        <w:tc>
          <w:tcPr>
            <w:tcW w:w="2160" w:type="dxa"/>
            <w:shd w:val="clear" w:color="auto" w:fill="FDE9D9" w:themeFill="accent6" w:themeFillTint="33"/>
            <w:vAlign w:val="bottom"/>
          </w:tcPr>
          <w:p w14:paraId="157DE5E7" w14:textId="77777777" w:rsidR="00645813" w:rsidRPr="00616E88" w:rsidRDefault="00645813" w:rsidP="00600940">
            <w:pPr>
              <w:pStyle w:val="Table10BC"/>
            </w:pPr>
            <w:r w:rsidRPr="00616E88">
              <w:t>Half hourly CDCM</w:t>
            </w:r>
            <w:r>
              <w:t xml:space="preserve"> business customers</w:t>
            </w:r>
          </w:p>
        </w:tc>
        <w:tc>
          <w:tcPr>
            <w:tcW w:w="0" w:type="dxa"/>
            <w:shd w:val="clear" w:color="auto" w:fill="auto"/>
          </w:tcPr>
          <w:p w14:paraId="19E982B2" w14:textId="77777777" w:rsidR="00645813" w:rsidRPr="00616E88" w:rsidRDefault="00645813" w:rsidP="00600940">
            <w:pPr>
              <w:pStyle w:val="Table10BC"/>
            </w:pPr>
          </w:p>
        </w:tc>
        <w:tc>
          <w:tcPr>
            <w:tcW w:w="2160" w:type="dxa"/>
            <w:shd w:val="clear" w:color="auto" w:fill="E5DFEC" w:themeFill="accent4" w:themeFillTint="33"/>
            <w:vAlign w:val="bottom"/>
          </w:tcPr>
          <w:p w14:paraId="2E47ADD9" w14:textId="77777777" w:rsidR="00645813" w:rsidRPr="00616E88" w:rsidRDefault="00645813" w:rsidP="003D4D3E">
            <w:pPr>
              <w:pStyle w:val="Table10BC"/>
            </w:pPr>
            <w:r w:rsidRPr="00616E88">
              <w:t>Site-specific EDCM</w:t>
            </w:r>
            <w:r>
              <w:t xml:space="preserve"> customers</w:t>
            </w:r>
          </w:p>
        </w:tc>
      </w:tr>
      <w:tr w:rsidR="00645813" w:rsidRPr="008137C8" w14:paraId="049A364D" w14:textId="77777777" w:rsidTr="00645813">
        <w:trPr>
          <w:trHeight w:val="548"/>
          <w:jc w:val="center"/>
        </w:trPr>
        <w:tc>
          <w:tcPr>
            <w:tcW w:w="2160" w:type="dxa"/>
            <w:shd w:val="clear" w:color="auto" w:fill="DAEEF3" w:themeFill="accent5" w:themeFillTint="33"/>
          </w:tcPr>
          <w:p w14:paraId="080BF063" w14:textId="77777777" w:rsidR="003D4D3E" w:rsidRPr="00616E88" w:rsidRDefault="003D4D3E" w:rsidP="003D4D3E">
            <w:pPr>
              <w:pStyle w:val="Table10BC"/>
            </w:pPr>
            <w:r w:rsidRPr="00616E88">
              <w:rPr>
                <w:noProof/>
                <w:lang w:val="en-US" w:bidi="ar-SA"/>
              </w:rPr>
              <w:drawing>
                <wp:inline distT="0" distB="0" distL="0" distR="0" wp14:anchorId="5EB27C07" wp14:editId="004CF3E3">
                  <wp:extent cx="457200" cy="457200"/>
                  <wp:effectExtent l="0" t="0" r="0" b="0"/>
                  <wp:docPr id="1" name="Picture 1"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4D11C3A1" w14:textId="77777777" w:rsidR="00645813" w:rsidRPr="00616E88" w:rsidRDefault="003D4D3E" w:rsidP="003D4D3E">
            <w:pPr>
              <w:pStyle w:val="Table10BC"/>
            </w:pPr>
            <w:r w:rsidRPr="00616E88">
              <w:t>No impact</w:t>
            </w:r>
          </w:p>
        </w:tc>
        <w:tc>
          <w:tcPr>
            <w:tcW w:w="0" w:type="dxa"/>
            <w:shd w:val="clear" w:color="auto" w:fill="auto"/>
          </w:tcPr>
          <w:p w14:paraId="3D8AE423" w14:textId="77777777" w:rsidR="00645813" w:rsidRPr="000C4B10" w:rsidRDefault="00645813" w:rsidP="00600940">
            <w:pPr>
              <w:pStyle w:val="Table10BC"/>
              <w:rPr>
                <w:rFonts w:ascii="Arial Black" w:hAnsi="Arial Black"/>
                <w:noProof/>
                <w:lang w:val="en-US" w:bidi="ar-SA"/>
              </w:rPr>
            </w:pPr>
          </w:p>
        </w:tc>
        <w:tc>
          <w:tcPr>
            <w:tcW w:w="2160" w:type="dxa"/>
            <w:shd w:val="clear" w:color="auto" w:fill="EAF1DD" w:themeFill="accent3" w:themeFillTint="33"/>
          </w:tcPr>
          <w:p w14:paraId="145ED4BB" w14:textId="77777777" w:rsidR="003D4D3E" w:rsidRPr="00616E88" w:rsidRDefault="003D4D3E" w:rsidP="003D4D3E">
            <w:pPr>
              <w:pStyle w:val="Table10BC"/>
            </w:pPr>
            <w:r w:rsidRPr="00616E88">
              <w:rPr>
                <w:noProof/>
                <w:lang w:val="en-US" w:bidi="ar-SA"/>
              </w:rPr>
              <w:drawing>
                <wp:inline distT="0" distB="0" distL="0" distR="0" wp14:anchorId="2334E8B0" wp14:editId="3FCF7BA2">
                  <wp:extent cx="457200" cy="457200"/>
                  <wp:effectExtent l="0" t="0" r="0" b="0"/>
                  <wp:docPr id="2" name="Picture 2"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513BE63" w14:textId="77777777" w:rsidR="00645813" w:rsidRPr="00616E88" w:rsidRDefault="003D4D3E" w:rsidP="003D4D3E">
            <w:pPr>
              <w:pStyle w:val="Table10BC"/>
            </w:pPr>
            <w:r w:rsidRPr="00616E88">
              <w:t>No impact</w:t>
            </w:r>
          </w:p>
        </w:tc>
        <w:tc>
          <w:tcPr>
            <w:tcW w:w="0" w:type="dxa"/>
            <w:shd w:val="clear" w:color="auto" w:fill="auto"/>
          </w:tcPr>
          <w:p w14:paraId="317B9523" w14:textId="77777777" w:rsidR="00645813" w:rsidRPr="00616E88" w:rsidRDefault="00645813" w:rsidP="00600940">
            <w:pPr>
              <w:pStyle w:val="Table10BC"/>
              <w:rPr>
                <w:noProof/>
                <w:lang w:val="en-US" w:bidi="ar-SA"/>
              </w:rPr>
            </w:pPr>
          </w:p>
        </w:tc>
        <w:tc>
          <w:tcPr>
            <w:tcW w:w="2160" w:type="dxa"/>
            <w:shd w:val="clear" w:color="auto" w:fill="FDE9D9" w:themeFill="accent6" w:themeFillTint="33"/>
          </w:tcPr>
          <w:p w14:paraId="6D1529E4" w14:textId="77777777" w:rsidR="003D4D3E" w:rsidRPr="00616E88" w:rsidRDefault="003D4D3E" w:rsidP="003D4D3E">
            <w:pPr>
              <w:pStyle w:val="Table10BC"/>
            </w:pPr>
            <w:r w:rsidRPr="00616E88">
              <w:rPr>
                <w:noProof/>
                <w:lang w:val="en-US" w:bidi="ar-SA"/>
              </w:rPr>
              <w:drawing>
                <wp:inline distT="0" distB="0" distL="0" distR="0" wp14:anchorId="15C6D9F5" wp14:editId="08A45942">
                  <wp:extent cx="457200" cy="457200"/>
                  <wp:effectExtent l="0" t="0" r="0" b="0"/>
                  <wp:docPr id="11" name="Picture 11"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FF50949" w14:textId="77777777" w:rsidR="00645813" w:rsidRPr="00616E88" w:rsidRDefault="003D4D3E" w:rsidP="003D4D3E">
            <w:pPr>
              <w:pStyle w:val="Table10BC"/>
            </w:pPr>
            <w:r w:rsidRPr="00616E88">
              <w:t>No impact</w:t>
            </w:r>
          </w:p>
        </w:tc>
        <w:tc>
          <w:tcPr>
            <w:tcW w:w="0" w:type="dxa"/>
            <w:shd w:val="clear" w:color="auto" w:fill="auto"/>
          </w:tcPr>
          <w:p w14:paraId="5672204B" w14:textId="77777777" w:rsidR="00645813" w:rsidRPr="00616E88" w:rsidRDefault="00645813" w:rsidP="00600940">
            <w:pPr>
              <w:pStyle w:val="Table10BC"/>
              <w:rPr>
                <w:noProof/>
                <w:lang w:val="en-US" w:bidi="ar-SA"/>
              </w:rPr>
            </w:pPr>
          </w:p>
        </w:tc>
        <w:tc>
          <w:tcPr>
            <w:tcW w:w="2160" w:type="dxa"/>
            <w:shd w:val="clear" w:color="auto" w:fill="E5DFEC" w:themeFill="accent4" w:themeFillTint="33"/>
          </w:tcPr>
          <w:p w14:paraId="734DB0DD" w14:textId="343C9B0F" w:rsidR="003D4D3E" w:rsidRPr="00616E88" w:rsidRDefault="003D4D3E" w:rsidP="003D4D3E">
            <w:pPr>
              <w:pStyle w:val="Table10BC"/>
            </w:pPr>
            <w:r w:rsidRPr="00616E88">
              <w:rPr>
                <w:noProof/>
                <w:lang w:val="en-US" w:bidi="ar-SA"/>
              </w:rPr>
              <w:drawing>
                <wp:inline distT="0" distB="0" distL="0" distR="0" wp14:anchorId="2400F6DF" wp14:editId="540B7DD6">
                  <wp:extent cx="457200" cy="457200"/>
                  <wp:effectExtent l="0" t="0" r="0" b="0"/>
                  <wp:docPr id="8" name="Picture 8"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8F1A20" w:rsidRPr="000C4B10">
              <w:rPr>
                <w:rFonts w:ascii="Arial Black" w:hAnsi="Arial Black"/>
                <w:noProof/>
                <w:lang w:val="en-US" w:bidi="ar-SA"/>
              </w:rPr>
              <w:drawing>
                <wp:inline distT="0" distB="0" distL="0" distR="0" wp14:anchorId="14155748" wp14:editId="11C22DEA">
                  <wp:extent cx="457200" cy="457200"/>
                  <wp:effectExtent l="0" t="0" r="0" b="0"/>
                  <wp:docPr id="13" name="Picture 13" descr="Macintosh HD:Users:franck:Documents:Blue Badger:DCPs &amp; alert:Weather symbols:Symbol 5 (light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franck:Documents:Blue Badger:DCPs &amp; alert:Weather symbols:Symbol 5 (lightni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6870367" w14:textId="77777777" w:rsidR="00645813" w:rsidRPr="00616E88" w:rsidRDefault="003D4D3E" w:rsidP="003D4D3E">
            <w:pPr>
              <w:pStyle w:val="Table10BC"/>
            </w:pPr>
            <w:r>
              <w:t>Unfair</w:t>
            </w:r>
            <w:r w:rsidRPr="00616E88">
              <w:t xml:space="preserve"> detriment to </w:t>
            </w:r>
            <w:r>
              <w:t xml:space="preserve">some </w:t>
            </w:r>
            <w:r w:rsidRPr="00616E88">
              <w:t>customers</w:t>
            </w:r>
          </w:p>
        </w:tc>
      </w:tr>
    </w:tbl>
    <w:p w14:paraId="2B21DE13" w14:textId="77777777" w:rsidR="00CD59B8" w:rsidRPr="008137C8" w:rsidRDefault="00CD59B8" w:rsidP="00A5429F">
      <w:pPr>
        <w:pStyle w:val="TableLastNote"/>
      </w:pPr>
    </w:p>
    <w:p w14:paraId="4D5137EC" w14:textId="77777777" w:rsidR="00DF69D2" w:rsidRDefault="00677898" w:rsidP="00B06763">
      <w:pPr>
        <w:pStyle w:val="Text"/>
      </w:pPr>
      <w:r w:rsidRPr="00D62425">
        <w:t xml:space="preserve">This </w:t>
      </w:r>
      <w:r w:rsidR="00D62425" w:rsidRPr="00D62425">
        <w:t xml:space="preserve">alert </w:t>
      </w:r>
      <w:r w:rsidRPr="00D62425">
        <w:t xml:space="preserve">is </w:t>
      </w:r>
      <w:r w:rsidR="00D62425" w:rsidRPr="00D62425">
        <w:t>about</w:t>
      </w:r>
      <w:r w:rsidR="00D62425">
        <w:t xml:space="preserve"> </w:t>
      </w:r>
      <w:r>
        <w:t xml:space="preserve">a proposal of the electricity industry to </w:t>
      </w:r>
      <w:r w:rsidR="003D4D3E">
        <w:t xml:space="preserve">change the treatment of reactive power flows in the calculation of distribution network charges for customers subject to site-specific EDCM tariffs </w:t>
      </w:r>
      <w:r>
        <w:t xml:space="preserve">from </w:t>
      </w:r>
      <w:r w:rsidR="003D4D3E">
        <w:t>1 April 2016</w:t>
      </w:r>
      <w:r>
        <w:t>.</w:t>
      </w:r>
      <w:r w:rsidR="003D4D3E">
        <w:t xml:space="preserve">  An industry consultation </w:t>
      </w:r>
      <w:r w:rsidR="00C8199B">
        <w:t xml:space="preserve">runs until </w:t>
      </w:r>
      <w:r w:rsidR="003D4D3E">
        <w:t>Tuesday 14 October 2014.</w:t>
      </w:r>
    </w:p>
    <w:p w14:paraId="3FDB3B57" w14:textId="77777777" w:rsidR="00673DFE" w:rsidRDefault="00673DFE" w:rsidP="00355C86">
      <w:pPr>
        <w:pStyle w:val="Heading2"/>
      </w:pPr>
      <w:r>
        <w:t>Who is affected?</w:t>
      </w:r>
    </w:p>
    <w:p w14:paraId="588053F1" w14:textId="77777777" w:rsidR="003D4D3E" w:rsidRDefault="003D4D3E" w:rsidP="003D4D3E">
      <w:pPr>
        <w:pStyle w:val="Text"/>
      </w:pPr>
      <w:r>
        <w:t>Distribution Network Operators (DNOs) are distinct from suppliers.  DNOs run networks and charge suppliers for their use; suppliers recover the costs from users.</w:t>
      </w:r>
    </w:p>
    <w:p w14:paraId="4E212E80" w14:textId="70952696" w:rsidR="003D4D3E" w:rsidRDefault="003D4D3E" w:rsidP="009F50F0">
      <w:pPr>
        <w:pStyle w:val="Text"/>
      </w:pPr>
      <w:r>
        <w:t xml:space="preserve">This change only affects customers who receive high-voltage electricity either directly from a primary substation (where electricity is transformed from a voltage greater than 22,000 Volts to the supply voltage) or at a supply voltage of more than 22,000 Volts.  For these customers, suppliers normally treat the charges levied on them by DNOs as “pass-through” items, i.e. they recharge the customer </w:t>
      </w:r>
      <w:r w:rsidR="00D91256">
        <w:t>at</w:t>
      </w:r>
      <w:r>
        <w:t xml:space="preserve"> cost.</w:t>
      </w:r>
    </w:p>
    <w:p w14:paraId="6A01B831" w14:textId="77777777" w:rsidR="003D4D3E" w:rsidRDefault="003D4D3E" w:rsidP="009F50F0">
      <w:pPr>
        <w:pStyle w:val="Text"/>
      </w:pPr>
      <w:r>
        <w:t>The proposed change has a material impact on two types of customers:</w:t>
      </w:r>
    </w:p>
    <w:p w14:paraId="5F042BE1" w14:textId="77777777" w:rsidR="003D4D3E" w:rsidRDefault="003D4D3E" w:rsidP="003D4D3E">
      <w:pPr>
        <w:pStyle w:val="ListBullet"/>
      </w:pPr>
      <w:r>
        <w:t>Customers that have on-site generation and are classified as generation-dominated by the DNO.  These customers will usually pay less as a result of the change.</w:t>
      </w:r>
    </w:p>
    <w:p w14:paraId="3E144F26" w14:textId="636B8BDB" w:rsidR="003D4D3E" w:rsidRDefault="003D4D3E" w:rsidP="003D4D3E">
      <w:pPr>
        <w:pStyle w:val="ListBullet"/>
      </w:pPr>
      <w:r>
        <w:t xml:space="preserve">Customers </w:t>
      </w:r>
      <w:r w:rsidR="00C81C62">
        <w:t>that</w:t>
      </w:r>
      <w:r>
        <w:t xml:space="preserve"> have</w:t>
      </w:r>
      <w:r w:rsidR="00C81C62">
        <w:t xml:space="preserve"> had</w:t>
      </w:r>
      <w:r>
        <w:t xml:space="preserve"> a poor power factor during the super-red time period (which typically covers every evenings in the winter).  These customers will pay </w:t>
      </w:r>
      <w:r w:rsidR="00C81C62">
        <w:t>higher capacity charges</w:t>
      </w:r>
      <w:r>
        <w:t xml:space="preserve"> as a result of the change.</w:t>
      </w:r>
    </w:p>
    <w:p w14:paraId="642C1894" w14:textId="54EC9B4D" w:rsidR="00233D1C" w:rsidRDefault="00233D1C" w:rsidP="00233D1C">
      <w:pPr>
        <w:pStyle w:val="Text"/>
      </w:pPr>
      <w:r>
        <w:t xml:space="preserve">I have put together a database of tariff impact using information from DNOs, DCUSA working groups and Market Domain Data.  This is available from </w:t>
      </w:r>
      <w:r w:rsidRPr="00233D1C">
        <w:rPr>
          <w:b/>
        </w:rPr>
        <w:t>dcmf.co.uk/alerts</w:t>
      </w:r>
      <w:r>
        <w:t>.</w:t>
      </w:r>
    </w:p>
    <w:p w14:paraId="2C2D3AAD" w14:textId="77777777" w:rsidR="003D4D3E" w:rsidRDefault="003D4D3E" w:rsidP="00355C86">
      <w:pPr>
        <w:pStyle w:val="Heading2"/>
      </w:pPr>
      <w:r>
        <w:t>Is this a sensible change?</w:t>
      </w:r>
    </w:p>
    <w:p w14:paraId="5E30B877" w14:textId="660A140A" w:rsidR="00C8199B" w:rsidRDefault="00D132E3" w:rsidP="003D4D3E">
      <w:pPr>
        <w:pStyle w:val="Text"/>
      </w:pPr>
      <w:r>
        <w:t xml:space="preserve">No.  </w:t>
      </w:r>
      <w:r w:rsidR="003D4D3E">
        <w:t xml:space="preserve">The </w:t>
      </w:r>
      <w:r w:rsidR="00C8199B">
        <w:t xml:space="preserve">deficiencies of the proposal </w:t>
      </w:r>
      <w:r w:rsidR="00DB05B9">
        <w:t>include</w:t>
      </w:r>
      <w:r w:rsidR="00C8199B">
        <w:t>:</w:t>
      </w:r>
    </w:p>
    <w:p w14:paraId="0E21A139" w14:textId="4A711742" w:rsidR="003D4D3E" w:rsidRDefault="00C8199B" w:rsidP="00C8199B">
      <w:pPr>
        <w:pStyle w:val="ListBullet"/>
      </w:pPr>
      <w:r>
        <w:t>It would make customers pay for reactive power flows</w:t>
      </w:r>
      <w:r w:rsidR="00DB05B9">
        <w:t>,</w:t>
      </w:r>
      <w:r>
        <w:t xml:space="preserve"> which, because of diversity, do not generally use any capacity on the DNO’s network.</w:t>
      </w:r>
    </w:p>
    <w:p w14:paraId="3B32C214" w14:textId="77777777" w:rsidR="00C8199B" w:rsidRDefault="00C8199B" w:rsidP="00C8199B">
      <w:pPr>
        <w:pStyle w:val="ListBullet"/>
      </w:pPr>
      <w:r>
        <w:t>It would charge customers in 2016/2017 for reactive power flows in 2014/2015, even if they install reactive power correction equipment before 1 April 2016.</w:t>
      </w:r>
    </w:p>
    <w:p w14:paraId="254C3FDA" w14:textId="77777777" w:rsidR="00C8199B" w:rsidRDefault="00C8199B" w:rsidP="00C8199B">
      <w:pPr>
        <w:pStyle w:val="ListBullet"/>
      </w:pPr>
      <w:r>
        <w:lastRenderedPageBreak/>
        <w:t>It would increase the undue advantages that the EDCM already gives to generation-dominated sites.</w:t>
      </w:r>
    </w:p>
    <w:p w14:paraId="793A45B7" w14:textId="1F00AECB" w:rsidR="00C8199B" w:rsidRDefault="00DB05B9" w:rsidP="00DB05B9">
      <w:pPr>
        <w:pStyle w:val="ListBullet"/>
      </w:pPr>
      <w:r>
        <w:t xml:space="preserve">It would charge more for each </w:t>
      </w:r>
      <w:proofErr w:type="spellStart"/>
      <w:r>
        <w:t>kVArh</w:t>
      </w:r>
      <w:proofErr w:type="spellEnd"/>
      <w:r>
        <w:t xml:space="preserve"> to a customer with a low level of active power consumption than to a customer with a high level of active power consumption, without any cost justification.</w:t>
      </w:r>
    </w:p>
    <w:p w14:paraId="70D306CC" w14:textId="5170858F" w:rsidR="00C81C62" w:rsidRDefault="00233D1C" w:rsidP="00C8199B">
      <w:pPr>
        <w:pStyle w:val="Text"/>
      </w:pPr>
      <w:r>
        <w:t>The worked examples appendix at the end of this alert</w:t>
      </w:r>
      <w:r w:rsidR="00C81C62">
        <w:t xml:space="preserve"> demonstrates these </w:t>
      </w:r>
      <w:r>
        <w:t>defects</w:t>
      </w:r>
      <w:r w:rsidR="00C81C62">
        <w:t>.</w:t>
      </w:r>
    </w:p>
    <w:p w14:paraId="533B6482" w14:textId="6AB8A15D" w:rsidR="00DB05B9" w:rsidRDefault="00C8199B" w:rsidP="00C8199B">
      <w:pPr>
        <w:pStyle w:val="Text"/>
      </w:pPr>
      <w:r>
        <w:t xml:space="preserve">There is no countervailing benefit to be set against the defects outlined above.  </w:t>
      </w:r>
      <w:r w:rsidR="00DB05B9">
        <w:t>In particular, the proposal does not even reduce the discrepancy between EDCM and CDCM, as it does not introduce in the EDCM any charge for excess reactive power flows that would be comparable to the CDCM reactive power charge.</w:t>
      </w:r>
    </w:p>
    <w:p w14:paraId="4B916E2C" w14:textId="2FE149A5" w:rsidR="00C8199B" w:rsidRDefault="00011B3A" w:rsidP="00011B3A">
      <w:pPr>
        <w:pStyle w:val="Text"/>
      </w:pPr>
      <w:r>
        <w:t>In my view, what has been proposed would not be an improvement to the charging methodology</w:t>
      </w:r>
      <w:r w:rsidR="00C81C62">
        <w:t xml:space="preserve"> in any way</w:t>
      </w:r>
      <w:r>
        <w:t xml:space="preserve">.  </w:t>
      </w:r>
      <w:r w:rsidR="00C8199B">
        <w:t>This is a bad proposal through and through.</w:t>
      </w:r>
    </w:p>
    <w:p w14:paraId="253C6F05" w14:textId="77777777" w:rsidR="003D4D3E" w:rsidRDefault="003D4D3E" w:rsidP="003D4D3E">
      <w:pPr>
        <w:pStyle w:val="Heading2"/>
      </w:pPr>
      <w:r>
        <w:t>Why is the el</w:t>
      </w:r>
      <w:r w:rsidR="00C8199B">
        <w:t>ectricity industry making this proposal</w:t>
      </w:r>
      <w:r>
        <w:t xml:space="preserve"> now?</w:t>
      </w:r>
    </w:p>
    <w:p w14:paraId="1A7BCEE9" w14:textId="77777777" w:rsidR="003D4D3E" w:rsidRDefault="003D4D3E" w:rsidP="003D4D3E">
      <w:pPr>
        <w:pStyle w:val="Text"/>
      </w:pPr>
      <w:r>
        <w:t>Ofgem asked DNOs to consider this change when it approved the EDCM charging methodology in 2012.  The delay in taking it forward is par for the course in the context of the industry governance system for charging methodologies.</w:t>
      </w:r>
    </w:p>
    <w:p w14:paraId="009D90B5" w14:textId="150DE07C" w:rsidR="0075675F" w:rsidRDefault="0075675F" w:rsidP="003D4D3E">
      <w:pPr>
        <w:pStyle w:val="Text"/>
      </w:pPr>
      <w:r>
        <w:t>I have no reason to believe that the working group developing this proposal was deliberately seeking to achieve the adverse effects outlined above.  Instead, what has probably happened is that the group has put no effort in testing whether their proposal made sen</w:t>
      </w:r>
      <w:r w:rsidR="00D91256">
        <w:t>se.  Cock-up explains the facts and</w:t>
      </w:r>
      <w:r>
        <w:t xml:space="preserve"> there is no ground to suspect conspiracy.</w:t>
      </w:r>
    </w:p>
    <w:p w14:paraId="1ABD8E0C" w14:textId="77777777" w:rsidR="00673DFE" w:rsidRDefault="00673DFE" w:rsidP="00355C86">
      <w:pPr>
        <w:pStyle w:val="Heading2"/>
      </w:pPr>
      <w:r>
        <w:t>How to make your voice heard</w:t>
      </w:r>
    </w:p>
    <w:p w14:paraId="74FF2E2F" w14:textId="77777777" w:rsidR="00692D3E" w:rsidRDefault="00692D3E" w:rsidP="00692D3E">
      <w:pPr>
        <w:pStyle w:val="Text"/>
      </w:pPr>
      <w:r>
        <w:t>The proposed change is under DCUSA, a governance regime overseen by Ofgem.  This change will only be implemented if Ofgem approves it.</w:t>
      </w:r>
    </w:p>
    <w:p w14:paraId="7C9BBA61" w14:textId="70A847AE" w:rsidR="003D4D3E" w:rsidRDefault="003D4D3E" w:rsidP="00DF69D2">
      <w:pPr>
        <w:pStyle w:val="Text"/>
      </w:pPr>
      <w:r>
        <w:t>The working group that has been working on this change is consulting on its proposals.  The stated closing date for responses is Tuesday 14 October 2014.  These consultations usually receive very few responses from customers, and any response therefore has a chance to carry some weight.</w:t>
      </w:r>
    </w:p>
    <w:p w14:paraId="7D4A1E6F" w14:textId="77777777" w:rsidR="002E1981" w:rsidRDefault="002E1981" w:rsidP="002E1981">
      <w:pPr>
        <w:pStyle w:val="Heading2"/>
      </w:pPr>
      <w:r>
        <w:t>For more information about this alert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320"/>
      </w:tblGrid>
      <w:tr w:rsidR="002E1981" w14:paraId="4EEA54BC" w14:textId="77777777" w:rsidTr="003D4D3E">
        <w:tc>
          <w:tcPr>
            <w:tcW w:w="2520" w:type="dxa"/>
          </w:tcPr>
          <w:p w14:paraId="1F7E8AA0" w14:textId="77777777" w:rsidR="002E1981" w:rsidRDefault="002E1981" w:rsidP="003D4D3E">
            <w:pPr>
              <w:pStyle w:val="Table"/>
              <w:jc w:val="center"/>
            </w:pPr>
            <w:r w:rsidRPr="00364B9A">
              <w:rPr>
                <w:noProof/>
                <w:lang w:val="en-US" w:bidi="ar-SA"/>
              </w:rPr>
              <w:drawing>
                <wp:inline distT="0" distB="0" distL="0" distR="0" wp14:anchorId="260CF5B1" wp14:editId="5A3A6064">
                  <wp:extent cx="1092200" cy="1092200"/>
                  <wp:effectExtent l="0" t="0" r="0" b="0"/>
                  <wp:docPr id="12" name="Picture 12" descr="Macintosh HD:Users:franck:Documents:Today:Marketing:36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ck:Documents:Today:Marketing:360x36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4320" w:type="dxa"/>
          </w:tcPr>
          <w:p w14:paraId="5498F12B" w14:textId="77777777" w:rsidR="002E1981" w:rsidRDefault="002E1981" w:rsidP="003D4D3E">
            <w:pPr>
              <w:pStyle w:val="Table"/>
              <w:rPr>
                <w:b/>
              </w:rPr>
            </w:pPr>
            <w:r w:rsidRPr="00E70261">
              <w:rPr>
                <w:b/>
              </w:rPr>
              <w:t>Franck Latrémolière</w:t>
            </w:r>
          </w:p>
          <w:p w14:paraId="0A68DEAF" w14:textId="77777777" w:rsidR="002E1981" w:rsidRDefault="002E1981" w:rsidP="003D4D3E">
            <w:pPr>
              <w:pStyle w:val="Table"/>
              <w:rPr>
                <w:b/>
              </w:rPr>
            </w:pPr>
            <w:r w:rsidRPr="00E70261">
              <w:rPr>
                <w:b/>
              </w:rPr>
              <w:t>Reckon LLP</w:t>
            </w:r>
          </w:p>
          <w:p w14:paraId="74338DCD" w14:textId="77777777" w:rsidR="002E1981" w:rsidRPr="00E70261" w:rsidRDefault="002E1981" w:rsidP="003D4D3E">
            <w:pPr>
              <w:pStyle w:val="Table"/>
              <w:rPr>
                <w:b/>
              </w:rPr>
            </w:pPr>
          </w:p>
          <w:p w14:paraId="78D3F472" w14:textId="77777777" w:rsidR="002E1981" w:rsidRDefault="002E1981" w:rsidP="003D4D3E">
            <w:pPr>
              <w:pStyle w:val="Table"/>
              <w:rPr>
                <w:b/>
              </w:rPr>
            </w:pPr>
            <w:r w:rsidRPr="00E70261">
              <w:rPr>
                <w:b/>
              </w:rPr>
              <w:t>Telephone: 020 7841 5858</w:t>
            </w:r>
          </w:p>
          <w:p w14:paraId="7655A6BB" w14:textId="77777777" w:rsidR="002E1981" w:rsidRPr="00E871CE" w:rsidRDefault="002E1981" w:rsidP="003D4D3E">
            <w:pPr>
              <w:pStyle w:val="Table"/>
              <w:rPr>
                <w:b/>
              </w:rPr>
            </w:pPr>
            <w:r w:rsidRPr="00E70261">
              <w:rPr>
                <w:b/>
              </w:rPr>
              <w:t xml:space="preserve">Email: </w:t>
            </w:r>
            <w:hyperlink r:id="rId11" w:history="1">
              <w:r w:rsidRPr="00E70261">
                <w:rPr>
                  <w:rStyle w:val="Hyperlink"/>
                  <w:b/>
                </w:rPr>
                <w:t>f20@reckon.co.uk</w:t>
              </w:r>
            </w:hyperlink>
          </w:p>
        </w:tc>
      </w:tr>
    </w:tbl>
    <w:p w14:paraId="0EC1936E" w14:textId="77777777" w:rsidR="002E1981" w:rsidRDefault="002E1981" w:rsidP="002E1981">
      <w:pPr>
        <w:spacing w:after="0"/>
        <w:jc w:val="left"/>
      </w:pPr>
    </w:p>
    <w:p w14:paraId="3341A25A" w14:textId="77777777" w:rsidR="002E1981" w:rsidRPr="00E53CA7" w:rsidRDefault="00B87AF3" w:rsidP="002E1981">
      <w:pPr>
        <w:pStyle w:val="Text"/>
        <w:numPr>
          <w:ilvl w:val="1"/>
          <w:numId w:val="3"/>
        </w:numPr>
      </w:pPr>
      <w:r>
        <w:t>There is nothing confidential in this alert.  Feel free to pass it on to others who might be interested or to include it with any consultation response you make.  Supplementary material, any further updates on this topic, or alerts on other areas of interest to electricity customers</w:t>
      </w:r>
      <w:r w:rsidR="002E1981">
        <w:t xml:space="preserve"> can be found at </w:t>
      </w:r>
      <w:r w:rsidR="002E1981" w:rsidRPr="00B87AF3">
        <w:rPr>
          <w:b/>
        </w:rPr>
        <w:t>http://dcmf.co.uk/alerts</w:t>
      </w:r>
      <w:r w:rsidR="002E1981">
        <w:t>.</w:t>
      </w:r>
    </w:p>
    <w:p w14:paraId="32814A19" w14:textId="6F95C98D" w:rsidR="00DB05B9" w:rsidRDefault="00233D1C" w:rsidP="002E1981">
      <w:pPr>
        <w:pStyle w:val="Heading2"/>
        <w:pageBreakBefore/>
      </w:pPr>
      <w:r>
        <w:lastRenderedPageBreak/>
        <w:t>Appendix</w:t>
      </w:r>
      <w:r w:rsidR="002E1981">
        <w:t xml:space="preserve"> — </w:t>
      </w:r>
      <w:r>
        <w:t>Illustrative worked</w:t>
      </w:r>
      <w:r w:rsidR="00DB05B9">
        <w:t xml:space="preserve"> example</w:t>
      </w:r>
    </w:p>
    <w:p w14:paraId="2F4B74F4" w14:textId="5069A659" w:rsidR="00185418" w:rsidRDefault="00185418" w:rsidP="00DB05B9">
      <w:pPr>
        <w:pStyle w:val="Text"/>
      </w:pPr>
      <w:r>
        <w:t xml:space="preserve">An illustrative worked example is available to download </w:t>
      </w:r>
      <w:bookmarkStart w:id="0" w:name="_GoBack"/>
      <w:bookmarkEnd w:id="0"/>
      <w:r>
        <w:t xml:space="preserve">from </w:t>
      </w:r>
      <w:r>
        <w:rPr>
          <w:b/>
        </w:rPr>
        <w:t>dcmf.co.uk/</w:t>
      </w:r>
      <w:r w:rsidRPr="00185418">
        <w:rPr>
          <w:b/>
        </w:rPr>
        <w:t>alerts</w:t>
      </w:r>
      <w:r w:rsidRPr="00185418">
        <w:t>.</w:t>
      </w:r>
    </w:p>
    <w:p w14:paraId="38D1739F" w14:textId="0154E426" w:rsidR="00185418" w:rsidRDefault="00185418" w:rsidP="00DB05B9">
      <w:pPr>
        <w:pStyle w:val="Text"/>
      </w:pPr>
      <w:r>
        <w:t>The DNO-wide data used in the example were inspired by a DNO operating in the South of Wales in 2013/2014</w:t>
      </w:r>
      <w:r w:rsidR="00DC3BAC">
        <w:t>.  T</w:t>
      </w:r>
      <w:r>
        <w:t>hat DNO has not verified or approved this example.</w:t>
      </w:r>
    </w:p>
    <w:p w14:paraId="64E67F7E" w14:textId="2753D42E" w:rsidR="00185418" w:rsidRDefault="00185418" w:rsidP="00DB05B9">
      <w:pPr>
        <w:pStyle w:val="Text"/>
      </w:pPr>
      <w:r>
        <w:t xml:space="preserve">That DNO has also refused to disclose DNO-wide data for 2014/2015.  I do not know what has changed, but in this case I am inclined to interpret non-disclosure as a sign that there might be features of the charges calculated by the </w:t>
      </w:r>
      <w:proofErr w:type="gramStart"/>
      <w:r>
        <w:t>EDCM which</w:t>
      </w:r>
      <w:proofErr w:type="gramEnd"/>
      <w:r>
        <w:t xml:space="preserve"> the DNO is not completely confident of being able to defend if challenged.</w:t>
      </w:r>
    </w:p>
    <w:p w14:paraId="18EB149D" w14:textId="02D2E41D" w:rsidR="00185418" w:rsidRDefault="00185418" w:rsidP="00185418">
      <w:pPr>
        <w:pStyle w:val="Text"/>
      </w:pPr>
      <w:r>
        <w:t>The customer data in the worked example are completely hypothetical and designed to highlight some features of the DCP 183 proposal.  There are three customers, each with 5</w:t>
      </w:r>
      <w:r w:rsidR="002328FC">
        <w:t>,000k</w:t>
      </w:r>
      <w:r>
        <w:t>VA of import capacity:</w:t>
      </w:r>
    </w:p>
    <w:p w14:paraId="27B38256" w14:textId="36BA21BA" w:rsidR="00185418" w:rsidRDefault="004E2AEF" w:rsidP="00185418">
      <w:pPr>
        <w:pStyle w:val="ListBullet"/>
      </w:pPr>
      <w:r>
        <w:t>Mr Full On consumes 4,500</w:t>
      </w:r>
      <w:r w:rsidR="00185418">
        <w:t>kW and</w:t>
      </w:r>
      <w:r w:rsidR="002328FC">
        <w:t xml:space="preserve"> 1,0</w:t>
      </w:r>
      <w:r>
        <w:t>00</w:t>
      </w:r>
      <w:r w:rsidR="00185418">
        <w:t xml:space="preserve">kVAr </w:t>
      </w:r>
      <w:r w:rsidR="00DC3BAC">
        <w:t>flat</w:t>
      </w:r>
      <w:r w:rsidR="002328FC">
        <w:t xml:space="preserve"> (power factor 0.97</w:t>
      </w:r>
      <w:r w:rsidR="00185418">
        <w:t>6).</w:t>
      </w:r>
    </w:p>
    <w:p w14:paraId="0BF88FEF" w14:textId="176AA645" w:rsidR="00185418" w:rsidRDefault="00185418" w:rsidP="00185418">
      <w:pPr>
        <w:pStyle w:val="ListBullet"/>
      </w:pPr>
      <w:r>
        <w:t xml:space="preserve">Mr Load Manager switches off its energy consumption </w:t>
      </w:r>
      <w:r w:rsidR="00DC3BAC">
        <w:t>at peak times</w:t>
      </w:r>
      <w:r>
        <w:t xml:space="preserve">.  Its </w:t>
      </w:r>
      <w:r w:rsidR="002328FC">
        <w:t xml:space="preserve">average </w:t>
      </w:r>
      <w:r>
        <w:t xml:space="preserve">consumption </w:t>
      </w:r>
      <w:r w:rsidR="002328FC">
        <w:t>i</w:t>
      </w:r>
      <w:r w:rsidR="004E2AEF">
        <w:t>n the super-red time band is 50</w:t>
      </w:r>
      <w:r w:rsidR="002328FC">
        <w:t>kW and 1,</w:t>
      </w:r>
      <w:r w:rsidR="002328FC" w:rsidRPr="0031723C">
        <w:t>0</w:t>
      </w:r>
      <w:r w:rsidR="0031723C" w:rsidRPr="0031723C">
        <w:t>00</w:t>
      </w:r>
      <w:r w:rsidRPr="0031723C">
        <w:t>kVAr</w:t>
      </w:r>
      <w:r>
        <w:t>.</w:t>
      </w:r>
    </w:p>
    <w:p w14:paraId="4828555A" w14:textId="143A27BB" w:rsidR="00185418" w:rsidRDefault="002328FC" w:rsidP="00185418">
      <w:pPr>
        <w:pStyle w:val="ListBullet"/>
      </w:pPr>
      <w:r>
        <w:t>Mr Generator is classified as “g</w:t>
      </w:r>
      <w:r w:rsidR="00415A21">
        <w:t>eneration dominated” by the DNO.  His generator suffered an outage for part of the most recent winter for which data were available at the time of setting charges and he consumed an average of 5</w:t>
      </w:r>
      <w:r w:rsidR="004E2AEF">
        <w:t>00</w:t>
      </w:r>
      <w:r w:rsidR="00415A21">
        <w:t xml:space="preserve">kW </w:t>
      </w:r>
      <w:r w:rsidR="004E2AEF">
        <w:t xml:space="preserve">and 1,000kVAr </w:t>
      </w:r>
      <w:r w:rsidR="00415A21">
        <w:t>during the super-red period.</w:t>
      </w:r>
    </w:p>
    <w:p w14:paraId="41D18080" w14:textId="77777777" w:rsidR="00415A21" w:rsidRDefault="00185418" w:rsidP="00185418">
      <w:pPr>
        <w:pStyle w:val="Text"/>
      </w:pPr>
      <w:r>
        <w:t>These three customers are metered at 11,000 Volts at a primary substation with an average amount of notional assets and zero LRIC charges.</w:t>
      </w:r>
    </w:p>
    <w:p w14:paraId="0EDABDD5" w14:textId="33699AAD" w:rsidR="00185418" w:rsidRDefault="002328FC" w:rsidP="00185418">
      <w:pPr>
        <w:pStyle w:val="Text"/>
      </w:pPr>
      <w:r>
        <w:t>The worked example assumes that DCP 183 has no ne</w:t>
      </w:r>
      <w:r w:rsidR="00415A21">
        <w:t>t effect on DNO-wide aggregates.  (In practice the effect in at least some DNO areas seems to be a slight reduction in charging rates</w:t>
      </w:r>
      <w:r>
        <w:t>.</w:t>
      </w:r>
      <w:r w:rsidR="00415A21">
        <w:t>)</w:t>
      </w:r>
    </w:p>
    <w:p w14:paraId="42E09707" w14:textId="554E2A30" w:rsidR="002328FC" w:rsidRDefault="002328FC" w:rsidP="00185418">
      <w:pPr>
        <w:pStyle w:val="Text"/>
      </w:pPr>
      <w:r>
        <w:t xml:space="preserve">Table </w:t>
      </w:r>
      <w:r>
        <w:fldChar w:fldCharType="begin"/>
      </w:r>
      <w:r>
        <w:instrText xml:space="preserve"> =1+</w:instrText>
      </w:r>
      <w:r>
        <w:fldChar w:fldCharType="begin"/>
      </w:r>
      <w:r>
        <w:instrText xml:space="preserve"> SEQ \c Table \* ARABIC </w:instrText>
      </w:r>
      <w:r>
        <w:fldChar w:fldCharType="separate"/>
      </w:r>
      <w:r>
        <w:rPr>
          <w:noProof/>
        </w:rPr>
        <w:instrText>0</w:instrText>
      </w:r>
      <w:r>
        <w:fldChar w:fldCharType="end"/>
      </w:r>
      <w:r>
        <w:fldChar w:fldCharType="separate"/>
      </w:r>
      <w:r>
        <w:rPr>
          <w:noProof/>
        </w:rPr>
        <w:t>1</w:t>
      </w:r>
      <w:r>
        <w:fldChar w:fldCharType="end"/>
      </w:r>
      <w:r>
        <w:t xml:space="preserve"> shows the results in terms of annual distribution charge for import with and without DCP 183.</w:t>
      </w:r>
    </w:p>
    <w:p w14:paraId="6011B7DC" w14:textId="1C8D1E77" w:rsidR="002328FC" w:rsidRDefault="002328FC" w:rsidP="002328FC">
      <w:pPr>
        <w:pStyle w:val="Caption"/>
      </w:pPr>
      <w:r>
        <w:t xml:space="preserve">Table </w:t>
      </w:r>
      <w:r>
        <w:fldChar w:fldCharType="begin"/>
      </w:r>
      <w:r>
        <w:instrText xml:space="preserve"> SEQ Table \* ARABIC </w:instrText>
      </w:r>
      <w:r>
        <w:fldChar w:fldCharType="separate"/>
      </w:r>
      <w:r>
        <w:rPr>
          <w:noProof/>
        </w:rPr>
        <w:t>1</w:t>
      </w:r>
      <w:r>
        <w:fldChar w:fldCharType="end"/>
      </w:r>
      <w:r w:rsidR="00415A21">
        <w:tab/>
        <w:t>Annual demand charges (£/year) in the worked example</w:t>
      </w:r>
    </w:p>
    <w:tbl>
      <w:tblPr>
        <w:tblStyle w:val="TableGrid"/>
        <w:tblW w:w="0" w:type="auto"/>
        <w:tblLayout w:type="fixed"/>
        <w:tblLook w:val="04A0" w:firstRow="1" w:lastRow="0" w:firstColumn="1" w:lastColumn="0" w:noHBand="0" w:noVBand="1"/>
      </w:tblPr>
      <w:tblGrid>
        <w:gridCol w:w="2016"/>
        <w:gridCol w:w="1728"/>
        <w:gridCol w:w="1728"/>
        <w:gridCol w:w="1728"/>
        <w:gridCol w:w="1800"/>
      </w:tblGrid>
      <w:tr w:rsidR="0031723C" w:rsidRPr="002328FC" w14:paraId="261C105B" w14:textId="77777777" w:rsidTr="0031723C">
        <w:tc>
          <w:tcPr>
            <w:tcW w:w="2016" w:type="dxa"/>
          </w:tcPr>
          <w:p w14:paraId="183B6022" w14:textId="77777777" w:rsidR="0031723C" w:rsidRPr="002328FC" w:rsidRDefault="0031723C" w:rsidP="002328FC">
            <w:pPr>
              <w:pStyle w:val="Table"/>
            </w:pPr>
          </w:p>
        </w:tc>
        <w:tc>
          <w:tcPr>
            <w:tcW w:w="1728" w:type="dxa"/>
          </w:tcPr>
          <w:p w14:paraId="38E3C47B" w14:textId="11C6F5CB" w:rsidR="0031723C" w:rsidRPr="002328FC" w:rsidRDefault="0031723C" w:rsidP="002328FC">
            <w:pPr>
              <w:pStyle w:val="Table"/>
              <w:jc w:val="center"/>
            </w:pPr>
            <w:r>
              <w:t>Base case</w:t>
            </w:r>
          </w:p>
        </w:tc>
        <w:tc>
          <w:tcPr>
            <w:tcW w:w="1728" w:type="dxa"/>
          </w:tcPr>
          <w:p w14:paraId="06EB136F" w14:textId="1EC607D1" w:rsidR="0031723C" w:rsidRPr="002328FC" w:rsidRDefault="0031723C" w:rsidP="002328FC">
            <w:pPr>
              <w:pStyle w:val="Table"/>
              <w:jc w:val="center"/>
            </w:pPr>
            <w:r w:rsidRPr="002328FC">
              <w:t>With DCP 183</w:t>
            </w:r>
          </w:p>
        </w:tc>
        <w:tc>
          <w:tcPr>
            <w:tcW w:w="1728" w:type="dxa"/>
          </w:tcPr>
          <w:p w14:paraId="70F7B389" w14:textId="6638ED6F" w:rsidR="0031723C" w:rsidRPr="002328FC" w:rsidRDefault="0031723C" w:rsidP="002328FC">
            <w:pPr>
              <w:pStyle w:val="Table"/>
              <w:jc w:val="center"/>
            </w:pPr>
            <w:r>
              <w:t>Impact</w:t>
            </w:r>
          </w:p>
        </w:tc>
        <w:tc>
          <w:tcPr>
            <w:tcW w:w="1800" w:type="dxa"/>
          </w:tcPr>
          <w:p w14:paraId="14F56B24" w14:textId="76CD5964" w:rsidR="0031723C" w:rsidRPr="002328FC" w:rsidRDefault="0031723C" w:rsidP="002328FC">
            <w:pPr>
              <w:pStyle w:val="Table"/>
              <w:jc w:val="center"/>
            </w:pPr>
            <w:r>
              <w:t>Impact (%)</w:t>
            </w:r>
          </w:p>
        </w:tc>
      </w:tr>
      <w:tr w:rsidR="0031723C" w14:paraId="187A02D8" w14:textId="77777777" w:rsidTr="0031723C">
        <w:tc>
          <w:tcPr>
            <w:tcW w:w="2016" w:type="dxa"/>
          </w:tcPr>
          <w:p w14:paraId="1DAC4974" w14:textId="7789EE16" w:rsidR="0031723C" w:rsidRDefault="0031723C" w:rsidP="002328FC">
            <w:pPr>
              <w:pStyle w:val="Table"/>
            </w:pPr>
            <w:r>
              <w:t>Mr Full On</w:t>
            </w:r>
          </w:p>
        </w:tc>
        <w:tc>
          <w:tcPr>
            <w:tcW w:w="1728" w:type="dxa"/>
            <w:vAlign w:val="center"/>
          </w:tcPr>
          <w:p w14:paraId="758AAB2C" w14:textId="38E94555" w:rsidR="0031723C" w:rsidRPr="006424D4" w:rsidRDefault="0031723C" w:rsidP="0031723C">
            <w:pPr>
              <w:pStyle w:val="Table"/>
              <w:tabs>
                <w:tab w:val="clear" w:pos="720"/>
                <w:tab w:val="decimal" w:pos="1260"/>
              </w:tabs>
            </w:pPr>
            <w:r w:rsidRPr="006424D4">
              <w:t>224,416</w:t>
            </w:r>
          </w:p>
        </w:tc>
        <w:tc>
          <w:tcPr>
            <w:tcW w:w="1728" w:type="dxa"/>
            <w:vAlign w:val="center"/>
          </w:tcPr>
          <w:p w14:paraId="7580B35F" w14:textId="2E269E6A" w:rsidR="0031723C" w:rsidRPr="006424D4" w:rsidRDefault="0031723C" w:rsidP="0031723C">
            <w:pPr>
              <w:pStyle w:val="Table"/>
              <w:tabs>
                <w:tab w:val="clear" w:pos="720"/>
                <w:tab w:val="decimal" w:pos="1260"/>
              </w:tabs>
            </w:pPr>
            <w:r w:rsidRPr="006424D4">
              <w:t>221,496</w:t>
            </w:r>
          </w:p>
        </w:tc>
        <w:tc>
          <w:tcPr>
            <w:tcW w:w="1728" w:type="dxa"/>
            <w:vAlign w:val="center"/>
          </w:tcPr>
          <w:p w14:paraId="0F74338D" w14:textId="53226D8F" w:rsidR="0031723C" w:rsidRPr="006424D4" w:rsidRDefault="0031723C" w:rsidP="0031723C">
            <w:pPr>
              <w:pStyle w:val="Table"/>
              <w:tabs>
                <w:tab w:val="clear" w:pos="720"/>
                <w:tab w:val="decimal" w:pos="1260"/>
              </w:tabs>
            </w:pPr>
            <w:r w:rsidRPr="006424D4">
              <w:rPr>
                <w:color w:val="DD0806"/>
                <w:szCs w:val="22"/>
              </w:rPr>
              <w:t>–2,920</w:t>
            </w:r>
          </w:p>
        </w:tc>
        <w:tc>
          <w:tcPr>
            <w:tcW w:w="1800" w:type="dxa"/>
            <w:vAlign w:val="center"/>
          </w:tcPr>
          <w:p w14:paraId="63D5B47D" w14:textId="113C1076" w:rsidR="0031723C" w:rsidRPr="006424D4" w:rsidRDefault="0031723C" w:rsidP="0031723C">
            <w:pPr>
              <w:pStyle w:val="Table"/>
              <w:tabs>
                <w:tab w:val="clear" w:pos="720"/>
                <w:tab w:val="decimal" w:pos="1260"/>
              </w:tabs>
            </w:pPr>
            <w:r w:rsidRPr="006424D4">
              <w:rPr>
                <w:color w:val="DD0806"/>
                <w:szCs w:val="22"/>
              </w:rPr>
              <w:t>–1.3%</w:t>
            </w:r>
          </w:p>
        </w:tc>
      </w:tr>
      <w:tr w:rsidR="0031723C" w14:paraId="479D3B2E" w14:textId="77777777" w:rsidTr="0031723C">
        <w:tc>
          <w:tcPr>
            <w:tcW w:w="2016" w:type="dxa"/>
          </w:tcPr>
          <w:p w14:paraId="1BCBCD5F" w14:textId="017FACC5" w:rsidR="0031723C" w:rsidRDefault="0031723C" w:rsidP="002328FC">
            <w:pPr>
              <w:pStyle w:val="Table"/>
            </w:pPr>
            <w:r>
              <w:t>Mr Load Manager</w:t>
            </w:r>
          </w:p>
        </w:tc>
        <w:tc>
          <w:tcPr>
            <w:tcW w:w="1728" w:type="dxa"/>
            <w:vAlign w:val="center"/>
          </w:tcPr>
          <w:p w14:paraId="74927220" w14:textId="146008B4" w:rsidR="0031723C" w:rsidRPr="006424D4" w:rsidRDefault="0031723C" w:rsidP="0031723C">
            <w:pPr>
              <w:pStyle w:val="Table"/>
              <w:tabs>
                <w:tab w:val="clear" w:pos="720"/>
                <w:tab w:val="decimal" w:pos="1260"/>
              </w:tabs>
            </w:pPr>
            <w:r w:rsidRPr="006424D4">
              <w:t>43,011</w:t>
            </w:r>
          </w:p>
        </w:tc>
        <w:tc>
          <w:tcPr>
            <w:tcW w:w="1728" w:type="dxa"/>
            <w:vAlign w:val="center"/>
          </w:tcPr>
          <w:p w14:paraId="4DEFDCC8" w14:textId="1A9818E9" w:rsidR="0031723C" w:rsidRPr="006424D4" w:rsidRDefault="0031723C" w:rsidP="0031723C">
            <w:pPr>
              <w:pStyle w:val="Table"/>
              <w:tabs>
                <w:tab w:val="clear" w:pos="720"/>
                <w:tab w:val="decimal" w:pos="1260"/>
              </w:tabs>
            </w:pPr>
            <w:r w:rsidRPr="006424D4">
              <w:t>75,496</w:t>
            </w:r>
          </w:p>
        </w:tc>
        <w:tc>
          <w:tcPr>
            <w:tcW w:w="1728" w:type="dxa"/>
            <w:vAlign w:val="center"/>
          </w:tcPr>
          <w:p w14:paraId="768A3FA7" w14:textId="4A9949C2" w:rsidR="0031723C" w:rsidRPr="006424D4" w:rsidRDefault="0031723C" w:rsidP="0031723C">
            <w:pPr>
              <w:pStyle w:val="Table"/>
              <w:tabs>
                <w:tab w:val="clear" w:pos="720"/>
                <w:tab w:val="decimal" w:pos="1260"/>
              </w:tabs>
            </w:pPr>
            <w:r w:rsidRPr="006424D4">
              <w:rPr>
                <w:color w:val="0000D4"/>
                <w:szCs w:val="22"/>
              </w:rPr>
              <w:t>+32,485</w:t>
            </w:r>
          </w:p>
        </w:tc>
        <w:tc>
          <w:tcPr>
            <w:tcW w:w="1800" w:type="dxa"/>
            <w:vAlign w:val="center"/>
          </w:tcPr>
          <w:p w14:paraId="313133CE" w14:textId="65B50C71" w:rsidR="0031723C" w:rsidRPr="006424D4" w:rsidRDefault="0031723C" w:rsidP="0031723C">
            <w:pPr>
              <w:pStyle w:val="Table"/>
              <w:tabs>
                <w:tab w:val="clear" w:pos="720"/>
                <w:tab w:val="decimal" w:pos="1260"/>
              </w:tabs>
            </w:pPr>
            <w:r w:rsidRPr="006424D4">
              <w:rPr>
                <w:color w:val="0000D4"/>
                <w:szCs w:val="22"/>
              </w:rPr>
              <w:t>+75.5%</w:t>
            </w:r>
          </w:p>
        </w:tc>
      </w:tr>
      <w:tr w:rsidR="0031723C" w14:paraId="52C44BAB" w14:textId="77777777" w:rsidTr="0031723C">
        <w:tc>
          <w:tcPr>
            <w:tcW w:w="2016" w:type="dxa"/>
          </w:tcPr>
          <w:p w14:paraId="75F42947" w14:textId="1A13AEE7" w:rsidR="0031723C" w:rsidRDefault="0031723C" w:rsidP="002328FC">
            <w:pPr>
              <w:pStyle w:val="Table"/>
            </w:pPr>
            <w:r>
              <w:t>Mr Generator</w:t>
            </w:r>
          </w:p>
        </w:tc>
        <w:tc>
          <w:tcPr>
            <w:tcW w:w="1728" w:type="dxa"/>
            <w:vAlign w:val="center"/>
          </w:tcPr>
          <w:p w14:paraId="32E07344" w14:textId="022B0348" w:rsidR="0031723C" w:rsidRPr="006424D4" w:rsidRDefault="0031723C" w:rsidP="0031723C">
            <w:pPr>
              <w:pStyle w:val="Table"/>
              <w:tabs>
                <w:tab w:val="clear" w:pos="720"/>
                <w:tab w:val="decimal" w:pos="1260"/>
              </w:tabs>
            </w:pPr>
            <w:r w:rsidRPr="006424D4">
              <w:t xml:space="preserve">       41,669</w:t>
            </w:r>
          </w:p>
        </w:tc>
        <w:tc>
          <w:tcPr>
            <w:tcW w:w="1728" w:type="dxa"/>
            <w:vAlign w:val="center"/>
          </w:tcPr>
          <w:p w14:paraId="406BB65E" w14:textId="5800524C" w:rsidR="0031723C" w:rsidRPr="006424D4" w:rsidRDefault="0031723C" w:rsidP="0031723C">
            <w:pPr>
              <w:pStyle w:val="Table"/>
              <w:tabs>
                <w:tab w:val="clear" w:pos="720"/>
                <w:tab w:val="decimal" w:pos="1260"/>
              </w:tabs>
            </w:pPr>
            <w:r w:rsidRPr="006424D4">
              <w:t xml:space="preserve">       41,486</w:t>
            </w:r>
          </w:p>
        </w:tc>
        <w:tc>
          <w:tcPr>
            <w:tcW w:w="1728" w:type="dxa"/>
            <w:vAlign w:val="center"/>
          </w:tcPr>
          <w:p w14:paraId="3D254D79" w14:textId="5D1169B3" w:rsidR="0031723C" w:rsidRPr="006424D4" w:rsidRDefault="0031723C" w:rsidP="0031723C">
            <w:pPr>
              <w:pStyle w:val="Table"/>
              <w:tabs>
                <w:tab w:val="clear" w:pos="720"/>
                <w:tab w:val="decimal" w:pos="1260"/>
              </w:tabs>
            </w:pPr>
            <w:r w:rsidRPr="006424D4">
              <w:rPr>
                <w:color w:val="DD0806"/>
                <w:szCs w:val="22"/>
              </w:rPr>
              <w:t>–183</w:t>
            </w:r>
          </w:p>
        </w:tc>
        <w:tc>
          <w:tcPr>
            <w:tcW w:w="1800" w:type="dxa"/>
            <w:vAlign w:val="center"/>
          </w:tcPr>
          <w:p w14:paraId="67B2D5E3" w14:textId="24B6D0A0" w:rsidR="0031723C" w:rsidRPr="006424D4" w:rsidRDefault="0031723C" w:rsidP="0031723C">
            <w:pPr>
              <w:pStyle w:val="Table"/>
              <w:tabs>
                <w:tab w:val="clear" w:pos="720"/>
                <w:tab w:val="decimal" w:pos="1260"/>
              </w:tabs>
            </w:pPr>
            <w:r w:rsidRPr="006424D4">
              <w:rPr>
                <w:color w:val="DD0806"/>
                <w:szCs w:val="22"/>
              </w:rPr>
              <w:t>–0.4%</w:t>
            </w:r>
          </w:p>
        </w:tc>
      </w:tr>
    </w:tbl>
    <w:p w14:paraId="60C089F9" w14:textId="77777777" w:rsidR="002328FC" w:rsidRDefault="002328FC" w:rsidP="00415A21">
      <w:pPr>
        <w:pStyle w:val="TableLastNote"/>
      </w:pPr>
    </w:p>
    <w:p w14:paraId="79BD1AFE" w14:textId="7490C37B" w:rsidR="004E2AEF" w:rsidRDefault="004E2AEF" w:rsidP="00415A21">
      <w:pPr>
        <w:pStyle w:val="Text"/>
      </w:pPr>
      <w:r>
        <w:t>Mr Generator pays less than Mr Load Manager despite consuming more in the super-red period.  This is primarily because of the blanket application of the collar values for network use factors on site classified as generation dominated.</w:t>
      </w:r>
    </w:p>
    <w:p w14:paraId="6CD674C6" w14:textId="048EB8CD" w:rsidR="00415A21" w:rsidRDefault="0031723C" w:rsidP="00415A21">
      <w:pPr>
        <w:pStyle w:val="Text"/>
      </w:pPr>
      <w:r>
        <w:t>Mr Full On and Mr Generator benefit from DCP 183</w:t>
      </w:r>
      <w:r w:rsidR="004E2AEF">
        <w:t xml:space="preserve"> </w:t>
      </w:r>
      <w:r>
        <w:t xml:space="preserve">because in the application of the notional assets </w:t>
      </w:r>
      <w:r w:rsidR="00A70C03">
        <w:t xml:space="preserve">for </w:t>
      </w:r>
      <w:r w:rsidR="00A70C03" w:rsidRPr="00A70C03">
        <w:t xml:space="preserve">33kV </w:t>
      </w:r>
      <w:r w:rsidR="00A70C03">
        <w:t xml:space="preserve">circuits </w:t>
      </w:r>
      <w:r w:rsidR="00A70C03" w:rsidRPr="00A70C03">
        <w:t>and 132kV</w:t>
      </w:r>
      <w:r>
        <w:t>, power factors of 0.976 and 1 respectively have been used instead of the 0.95 notional value used in the base case.</w:t>
      </w:r>
    </w:p>
    <w:p w14:paraId="5E9EC8AD" w14:textId="776CA7AF" w:rsidR="00A70C03" w:rsidRPr="00A70C03" w:rsidRDefault="004E2AEF" w:rsidP="00A70C03">
      <w:pPr>
        <w:pStyle w:val="Text"/>
      </w:pPr>
      <w:r>
        <w:lastRenderedPageBreak/>
        <w:t xml:space="preserve">Mr Load Manager loses out </w:t>
      </w:r>
      <w:r w:rsidR="00E47D70">
        <w:t xml:space="preserve">significantly </w:t>
      </w:r>
      <w:r>
        <w:t>from DCP 183</w:t>
      </w:r>
      <w:r w:rsidR="00A70C03">
        <w:t>,</w:t>
      </w:r>
      <w:r>
        <w:t xml:space="preserve"> mainly because </w:t>
      </w:r>
      <w:r w:rsidR="00E47D70">
        <w:t xml:space="preserve">the notional </w:t>
      </w:r>
      <w:r w:rsidR="00E47D70" w:rsidRPr="00A70C03">
        <w:t xml:space="preserve">assets </w:t>
      </w:r>
      <w:r w:rsidR="00A70C03">
        <w:t xml:space="preserve">for </w:t>
      </w:r>
      <w:r w:rsidR="00E47D70" w:rsidRPr="00A70C03">
        <w:t xml:space="preserve">33kV </w:t>
      </w:r>
      <w:r w:rsidR="00A70C03">
        <w:t xml:space="preserve">circuits </w:t>
      </w:r>
      <w:r w:rsidR="00E47D70" w:rsidRPr="00A70C03">
        <w:t xml:space="preserve">and 132kV on which it gets charged for direct costs, network rates and the asset </w:t>
      </w:r>
      <w:proofErr w:type="spellStart"/>
      <w:r w:rsidR="00E47D70" w:rsidRPr="00A70C03">
        <w:t>scaler</w:t>
      </w:r>
      <w:proofErr w:type="spellEnd"/>
      <w:r w:rsidR="00E47D70" w:rsidRPr="00A70C03">
        <w:t xml:space="preserve"> are multiplied by a factor of 19, from 50kW in the base case to 1,001kVA converted to a notional 951kW under DCP 183.</w:t>
      </w:r>
    </w:p>
    <w:p w14:paraId="0D789517" w14:textId="27A968A0" w:rsidR="00E47D70" w:rsidRPr="00A70C03" w:rsidRDefault="00A70C03" w:rsidP="00A70C03">
      <w:pPr>
        <w:pStyle w:val="Text"/>
      </w:pPr>
      <w:r w:rsidRPr="00A70C03">
        <w:t>In the worked example, the annual charge on notional assets is 6.9 per cent</w:t>
      </w:r>
      <w:r>
        <w:t xml:space="preserve">.  Table </w:t>
      </w:r>
      <w:r>
        <w:fldChar w:fldCharType="begin"/>
      </w:r>
      <w:r>
        <w:instrText xml:space="preserve"> =1+</w:instrText>
      </w:r>
      <w:r>
        <w:fldChar w:fldCharType="begin"/>
      </w:r>
      <w:r>
        <w:instrText xml:space="preserve"> SEQ \c Table \* ARABIC </w:instrText>
      </w:r>
      <w:r>
        <w:fldChar w:fldCharType="separate"/>
      </w:r>
      <w:r>
        <w:rPr>
          <w:noProof/>
        </w:rPr>
        <w:instrText>1</w:instrText>
      </w:r>
      <w:r>
        <w:fldChar w:fldCharType="end"/>
      </w:r>
      <w:r>
        <w:fldChar w:fldCharType="separate"/>
      </w:r>
      <w:r>
        <w:rPr>
          <w:noProof/>
        </w:rPr>
        <w:t>2</w:t>
      </w:r>
      <w:r>
        <w:fldChar w:fldCharType="end"/>
      </w:r>
      <w:r>
        <w:t xml:space="preserve"> summaris</w:t>
      </w:r>
      <w:r w:rsidR="00E24A22">
        <w:t>es the notional assets involved: the major part of the £32,485 increase for Mr Load Manager is the application of the 6.9 per cent rate to the 19-fold increase in 33kV circuits and 132kV notional assets by £386,000.</w:t>
      </w:r>
    </w:p>
    <w:p w14:paraId="6CB6AC74" w14:textId="3C51D216" w:rsidR="00A70C03" w:rsidRDefault="00A70C03" w:rsidP="00A70C03">
      <w:pPr>
        <w:pStyle w:val="Caption"/>
      </w:pPr>
      <w:r>
        <w:t xml:space="preserve">Table </w:t>
      </w:r>
      <w:r>
        <w:fldChar w:fldCharType="begin"/>
      </w:r>
      <w:r>
        <w:instrText xml:space="preserve"> SEQ Table \* ARABIC </w:instrText>
      </w:r>
      <w:r>
        <w:fldChar w:fldCharType="separate"/>
      </w:r>
      <w:r>
        <w:rPr>
          <w:noProof/>
        </w:rPr>
        <w:t>2</w:t>
      </w:r>
      <w:r>
        <w:fldChar w:fldCharType="end"/>
      </w:r>
      <w:r>
        <w:tab/>
        <w:t>Notional asset values in the worked example (£)</w:t>
      </w:r>
    </w:p>
    <w:tbl>
      <w:tblPr>
        <w:tblStyle w:val="TableGrid"/>
        <w:tblW w:w="0" w:type="auto"/>
        <w:tblLayout w:type="fixed"/>
        <w:tblLook w:val="04A0" w:firstRow="1" w:lastRow="0" w:firstColumn="1" w:lastColumn="0" w:noHBand="0" w:noVBand="1"/>
      </w:tblPr>
      <w:tblGrid>
        <w:gridCol w:w="2016"/>
        <w:gridCol w:w="1728"/>
        <w:gridCol w:w="1728"/>
        <w:gridCol w:w="1728"/>
        <w:gridCol w:w="1800"/>
      </w:tblGrid>
      <w:tr w:rsidR="00A70C03" w:rsidRPr="002328FC" w14:paraId="743B11CD" w14:textId="77777777" w:rsidTr="009019F3">
        <w:tc>
          <w:tcPr>
            <w:tcW w:w="2016" w:type="dxa"/>
          </w:tcPr>
          <w:p w14:paraId="6CB59393" w14:textId="77777777" w:rsidR="00A70C03" w:rsidRPr="002328FC" w:rsidRDefault="00A70C03" w:rsidP="009019F3">
            <w:pPr>
              <w:pStyle w:val="Table"/>
            </w:pPr>
          </w:p>
        </w:tc>
        <w:tc>
          <w:tcPr>
            <w:tcW w:w="3456" w:type="dxa"/>
            <w:gridSpan w:val="2"/>
          </w:tcPr>
          <w:p w14:paraId="7F9FDEFA" w14:textId="35A12DA9" w:rsidR="00A70C03" w:rsidRPr="002328FC" w:rsidRDefault="00A70C03" w:rsidP="00A70C03">
            <w:pPr>
              <w:pStyle w:val="Table"/>
              <w:jc w:val="center"/>
            </w:pPr>
            <w:r>
              <w:t>33kV/11kV assets</w:t>
            </w:r>
          </w:p>
        </w:tc>
        <w:tc>
          <w:tcPr>
            <w:tcW w:w="3528" w:type="dxa"/>
            <w:gridSpan w:val="2"/>
          </w:tcPr>
          <w:p w14:paraId="58F96F98" w14:textId="41ECD162" w:rsidR="00A70C03" w:rsidRPr="002328FC" w:rsidRDefault="00A70C03" w:rsidP="009019F3">
            <w:pPr>
              <w:pStyle w:val="Table"/>
              <w:jc w:val="center"/>
            </w:pPr>
            <w:r>
              <w:t>33kV circuits and 132kV assets</w:t>
            </w:r>
          </w:p>
        </w:tc>
      </w:tr>
      <w:tr w:rsidR="00A70C03" w:rsidRPr="002328FC" w14:paraId="40F09076" w14:textId="77777777" w:rsidTr="009019F3">
        <w:tc>
          <w:tcPr>
            <w:tcW w:w="2016" w:type="dxa"/>
          </w:tcPr>
          <w:p w14:paraId="3702C29F" w14:textId="77777777" w:rsidR="00A70C03" w:rsidRPr="002328FC" w:rsidRDefault="00A70C03" w:rsidP="009019F3">
            <w:pPr>
              <w:pStyle w:val="Table"/>
            </w:pPr>
          </w:p>
        </w:tc>
        <w:tc>
          <w:tcPr>
            <w:tcW w:w="1728" w:type="dxa"/>
          </w:tcPr>
          <w:p w14:paraId="7FF11790" w14:textId="60060AAB" w:rsidR="00A70C03" w:rsidRPr="002328FC" w:rsidRDefault="00A70C03" w:rsidP="009019F3">
            <w:pPr>
              <w:pStyle w:val="Table"/>
              <w:jc w:val="center"/>
            </w:pPr>
            <w:r>
              <w:t>Base case</w:t>
            </w:r>
          </w:p>
        </w:tc>
        <w:tc>
          <w:tcPr>
            <w:tcW w:w="1728" w:type="dxa"/>
          </w:tcPr>
          <w:p w14:paraId="5F21EC4B" w14:textId="77777777" w:rsidR="00A70C03" w:rsidRPr="002328FC" w:rsidRDefault="00A70C03" w:rsidP="009019F3">
            <w:pPr>
              <w:pStyle w:val="Table"/>
              <w:jc w:val="center"/>
            </w:pPr>
            <w:r w:rsidRPr="002328FC">
              <w:t>With DCP 183</w:t>
            </w:r>
          </w:p>
        </w:tc>
        <w:tc>
          <w:tcPr>
            <w:tcW w:w="1728" w:type="dxa"/>
          </w:tcPr>
          <w:p w14:paraId="3372D230" w14:textId="5D7C43E2" w:rsidR="00A70C03" w:rsidRPr="002328FC" w:rsidRDefault="00A70C03" w:rsidP="009019F3">
            <w:pPr>
              <w:pStyle w:val="Table"/>
              <w:jc w:val="center"/>
            </w:pPr>
            <w:r>
              <w:t>Base case</w:t>
            </w:r>
          </w:p>
        </w:tc>
        <w:tc>
          <w:tcPr>
            <w:tcW w:w="1800" w:type="dxa"/>
          </w:tcPr>
          <w:p w14:paraId="56F64637" w14:textId="0D7D2CA7" w:rsidR="00A70C03" w:rsidRPr="002328FC" w:rsidRDefault="00A70C03" w:rsidP="009019F3">
            <w:pPr>
              <w:pStyle w:val="Table"/>
              <w:jc w:val="center"/>
            </w:pPr>
            <w:r w:rsidRPr="002328FC">
              <w:t>With DCP 183</w:t>
            </w:r>
          </w:p>
        </w:tc>
      </w:tr>
      <w:tr w:rsidR="009019F3" w14:paraId="1719C810" w14:textId="77777777" w:rsidTr="009019F3">
        <w:tc>
          <w:tcPr>
            <w:tcW w:w="2016" w:type="dxa"/>
          </w:tcPr>
          <w:p w14:paraId="67E2C898" w14:textId="77777777" w:rsidR="009019F3" w:rsidRDefault="009019F3" w:rsidP="009019F3">
            <w:pPr>
              <w:pStyle w:val="Table"/>
            </w:pPr>
            <w:r>
              <w:t>Mr Full On</w:t>
            </w:r>
          </w:p>
        </w:tc>
        <w:tc>
          <w:tcPr>
            <w:tcW w:w="1728" w:type="dxa"/>
            <w:vAlign w:val="bottom"/>
          </w:tcPr>
          <w:p w14:paraId="0236653C" w14:textId="75030CD0" w:rsidR="009019F3" w:rsidRPr="009019F3" w:rsidRDefault="009019F3" w:rsidP="009019F3">
            <w:pPr>
              <w:pStyle w:val="Table"/>
              <w:tabs>
                <w:tab w:val="clear" w:pos="720"/>
                <w:tab w:val="decimal" w:pos="1260"/>
              </w:tabs>
            </w:pPr>
            <w:r w:rsidRPr="009019F3">
              <w:rPr>
                <w:color w:val="000000"/>
                <w:szCs w:val="22"/>
              </w:rPr>
              <w:t xml:space="preserve"> 375,617 </w:t>
            </w:r>
          </w:p>
        </w:tc>
        <w:tc>
          <w:tcPr>
            <w:tcW w:w="1728" w:type="dxa"/>
            <w:vAlign w:val="bottom"/>
          </w:tcPr>
          <w:p w14:paraId="7BD6657E" w14:textId="273752BB" w:rsidR="009019F3" w:rsidRPr="009019F3" w:rsidRDefault="009019F3" w:rsidP="009019F3">
            <w:pPr>
              <w:pStyle w:val="Table"/>
              <w:tabs>
                <w:tab w:val="clear" w:pos="720"/>
                <w:tab w:val="decimal" w:pos="1260"/>
              </w:tabs>
            </w:pPr>
            <w:r w:rsidRPr="009019F3">
              <w:rPr>
                <w:color w:val="000000"/>
                <w:szCs w:val="22"/>
              </w:rPr>
              <w:t xml:space="preserve"> 375,617 </w:t>
            </w:r>
          </w:p>
        </w:tc>
        <w:tc>
          <w:tcPr>
            <w:tcW w:w="1728" w:type="dxa"/>
            <w:vAlign w:val="bottom"/>
          </w:tcPr>
          <w:p w14:paraId="6B00838A" w14:textId="25BCBB57" w:rsidR="009019F3" w:rsidRPr="009019F3" w:rsidRDefault="009019F3" w:rsidP="009019F3">
            <w:pPr>
              <w:pStyle w:val="Table"/>
              <w:tabs>
                <w:tab w:val="clear" w:pos="720"/>
                <w:tab w:val="decimal" w:pos="1260"/>
              </w:tabs>
            </w:pPr>
            <w:r w:rsidRPr="009019F3">
              <w:rPr>
                <w:color w:val="000000"/>
                <w:szCs w:val="22"/>
              </w:rPr>
              <w:t xml:space="preserve"> 1,929,119 </w:t>
            </w:r>
          </w:p>
        </w:tc>
        <w:tc>
          <w:tcPr>
            <w:tcW w:w="1800" w:type="dxa"/>
            <w:vAlign w:val="bottom"/>
          </w:tcPr>
          <w:p w14:paraId="0DC34424" w14:textId="455C5FBF" w:rsidR="009019F3" w:rsidRPr="009019F3" w:rsidRDefault="009019F3" w:rsidP="009019F3">
            <w:pPr>
              <w:pStyle w:val="Table"/>
              <w:tabs>
                <w:tab w:val="clear" w:pos="720"/>
                <w:tab w:val="decimal" w:pos="1260"/>
              </w:tabs>
            </w:pPr>
            <w:r w:rsidRPr="009019F3">
              <w:rPr>
                <w:color w:val="000000"/>
                <w:szCs w:val="22"/>
              </w:rPr>
              <w:t xml:space="preserve"> 1,877,369 </w:t>
            </w:r>
          </w:p>
        </w:tc>
      </w:tr>
      <w:tr w:rsidR="009019F3" w14:paraId="787738CA" w14:textId="77777777" w:rsidTr="009019F3">
        <w:tc>
          <w:tcPr>
            <w:tcW w:w="2016" w:type="dxa"/>
          </w:tcPr>
          <w:p w14:paraId="531CBD04" w14:textId="77777777" w:rsidR="009019F3" w:rsidRDefault="009019F3" w:rsidP="009019F3">
            <w:pPr>
              <w:pStyle w:val="Table"/>
            </w:pPr>
            <w:r>
              <w:t>Mr Load Manager</w:t>
            </w:r>
          </w:p>
        </w:tc>
        <w:tc>
          <w:tcPr>
            <w:tcW w:w="1728" w:type="dxa"/>
            <w:vAlign w:val="bottom"/>
          </w:tcPr>
          <w:p w14:paraId="108C2CEE" w14:textId="110F88F8" w:rsidR="009019F3" w:rsidRPr="009019F3" w:rsidRDefault="009019F3" w:rsidP="009019F3">
            <w:pPr>
              <w:pStyle w:val="Table"/>
              <w:tabs>
                <w:tab w:val="clear" w:pos="720"/>
                <w:tab w:val="decimal" w:pos="1260"/>
              </w:tabs>
            </w:pPr>
            <w:r w:rsidRPr="009019F3">
              <w:rPr>
                <w:color w:val="000000"/>
                <w:szCs w:val="22"/>
              </w:rPr>
              <w:t xml:space="preserve"> 375,617 </w:t>
            </w:r>
          </w:p>
        </w:tc>
        <w:tc>
          <w:tcPr>
            <w:tcW w:w="1728" w:type="dxa"/>
            <w:vAlign w:val="bottom"/>
          </w:tcPr>
          <w:p w14:paraId="6CA45E35" w14:textId="106D8762" w:rsidR="009019F3" w:rsidRPr="009019F3" w:rsidRDefault="009019F3" w:rsidP="009019F3">
            <w:pPr>
              <w:pStyle w:val="Table"/>
              <w:tabs>
                <w:tab w:val="clear" w:pos="720"/>
                <w:tab w:val="decimal" w:pos="1260"/>
              </w:tabs>
            </w:pPr>
            <w:r w:rsidRPr="009019F3">
              <w:rPr>
                <w:color w:val="000000"/>
                <w:szCs w:val="22"/>
              </w:rPr>
              <w:t xml:space="preserve"> 375,617 </w:t>
            </w:r>
          </w:p>
        </w:tc>
        <w:tc>
          <w:tcPr>
            <w:tcW w:w="1728" w:type="dxa"/>
            <w:vAlign w:val="bottom"/>
          </w:tcPr>
          <w:p w14:paraId="78BEF67C" w14:textId="44D76F38" w:rsidR="009019F3" w:rsidRPr="009019F3" w:rsidRDefault="009019F3" w:rsidP="009019F3">
            <w:pPr>
              <w:pStyle w:val="Table"/>
              <w:tabs>
                <w:tab w:val="clear" w:pos="720"/>
                <w:tab w:val="decimal" w:pos="1260"/>
              </w:tabs>
            </w:pPr>
            <w:r w:rsidRPr="009019F3">
              <w:rPr>
                <w:color w:val="000000"/>
                <w:szCs w:val="22"/>
              </w:rPr>
              <w:t xml:space="preserve"> 21,435 </w:t>
            </w:r>
          </w:p>
        </w:tc>
        <w:tc>
          <w:tcPr>
            <w:tcW w:w="1800" w:type="dxa"/>
            <w:vAlign w:val="bottom"/>
          </w:tcPr>
          <w:p w14:paraId="5102EE27" w14:textId="03D1F5C9" w:rsidR="009019F3" w:rsidRPr="009019F3" w:rsidRDefault="009019F3" w:rsidP="009019F3">
            <w:pPr>
              <w:pStyle w:val="Table"/>
              <w:tabs>
                <w:tab w:val="clear" w:pos="720"/>
                <w:tab w:val="decimal" w:pos="1260"/>
              </w:tabs>
            </w:pPr>
            <w:r w:rsidRPr="009019F3">
              <w:rPr>
                <w:color w:val="000000"/>
                <w:szCs w:val="22"/>
              </w:rPr>
              <w:t xml:space="preserve"> 407,767 </w:t>
            </w:r>
          </w:p>
        </w:tc>
      </w:tr>
      <w:tr w:rsidR="009019F3" w14:paraId="606B61C7" w14:textId="77777777" w:rsidTr="009019F3">
        <w:tc>
          <w:tcPr>
            <w:tcW w:w="2016" w:type="dxa"/>
          </w:tcPr>
          <w:p w14:paraId="10CA896F" w14:textId="77777777" w:rsidR="009019F3" w:rsidRDefault="009019F3" w:rsidP="009019F3">
            <w:pPr>
              <w:pStyle w:val="Table"/>
            </w:pPr>
            <w:r>
              <w:t>Mr Generator</w:t>
            </w:r>
          </w:p>
        </w:tc>
        <w:tc>
          <w:tcPr>
            <w:tcW w:w="1728" w:type="dxa"/>
            <w:vAlign w:val="bottom"/>
          </w:tcPr>
          <w:p w14:paraId="4507181A" w14:textId="1C0639E2" w:rsidR="009019F3" w:rsidRPr="009019F3" w:rsidRDefault="009019F3" w:rsidP="009019F3">
            <w:pPr>
              <w:pStyle w:val="Table"/>
              <w:tabs>
                <w:tab w:val="clear" w:pos="720"/>
                <w:tab w:val="decimal" w:pos="1260"/>
              </w:tabs>
            </w:pPr>
            <w:r w:rsidRPr="009019F3">
              <w:rPr>
                <w:color w:val="000000"/>
                <w:szCs w:val="22"/>
              </w:rPr>
              <w:t xml:space="preserve"> 237,014 </w:t>
            </w:r>
          </w:p>
        </w:tc>
        <w:tc>
          <w:tcPr>
            <w:tcW w:w="1728" w:type="dxa"/>
            <w:vAlign w:val="bottom"/>
          </w:tcPr>
          <w:p w14:paraId="3C3480CD" w14:textId="54EF7DF6" w:rsidR="009019F3" w:rsidRPr="009019F3" w:rsidRDefault="009019F3" w:rsidP="009019F3">
            <w:pPr>
              <w:pStyle w:val="Table"/>
              <w:tabs>
                <w:tab w:val="clear" w:pos="720"/>
                <w:tab w:val="decimal" w:pos="1260"/>
              </w:tabs>
            </w:pPr>
            <w:r w:rsidRPr="009019F3">
              <w:rPr>
                <w:color w:val="000000"/>
                <w:szCs w:val="22"/>
              </w:rPr>
              <w:t xml:space="preserve"> 237,014 </w:t>
            </w:r>
          </w:p>
        </w:tc>
        <w:tc>
          <w:tcPr>
            <w:tcW w:w="1728" w:type="dxa"/>
            <w:vAlign w:val="bottom"/>
          </w:tcPr>
          <w:p w14:paraId="453E0CC4" w14:textId="04326896" w:rsidR="009019F3" w:rsidRPr="009019F3" w:rsidRDefault="009019F3" w:rsidP="009019F3">
            <w:pPr>
              <w:pStyle w:val="Table"/>
              <w:tabs>
                <w:tab w:val="clear" w:pos="720"/>
                <w:tab w:val="decimal" w:pos="1260"/>
              </w:tabs>
            </w:pPr>
            <w:r w:rsidRPr="009019F3">
              <w:rPr>
                <w:color w:val="000000"/>
                <w:szCs w:val="22"/>
              </w:rPr>
              <w:t xml:space="preserve"> 69,300 </w:t>
            </w:r>
          </w:p>
        </w:tc>
        <w:tc>
          <w:tcPr>
            <w:tcW w:w="1800" w:type="dxa"/>
            <w:vAlign w:val="bottom"/>
          </w:tcPr>
          <w:p w14:paraId="787CA24D" w14:textId="28CED9DE" w:rsidR="009019F3" w:rsidRPr="009019F3" w:rsidRDefault="009019F3" w:rsidP="009019F3">
            <w:pPr>
              <w:pStyle w:val="Table"/>
              <w:tabs>
                <w:tab w:val="clear" w:pos="720"/>
                <w:tab w:val="decimal" w:pos="1260"/>
              </w:tabs>
            </w:pPr>
            <w:r w:rsidRPr="009019F3">
              <w:rPr>
                <w:color w:val="000000"/>
                <w:szCs w:val="22"/>
              </w:rPr>
              <w:t xml:space="preserve"> 65,835 </w:t>
            </w:r>
          </w:p>
        </w:tc>
      </w:tr>
    </w:tbl>
    <w:p w14:paraId="1292E83C" w14:textId="77777777" w:rsidR="00A70C03" w:rsidRDefault="00A70C03" w:rsidP="00E24A22">
      <w:pPr>
        <w:pStyle w:val="TableLastNote"/>
      </w:pPr>
    </w:p>
    <w:p w14:paraId="6E2176A9" w14:textId="4FD95AF4" w:rsidR="000E0201" w:rsidRDefault="00E24A22" w:rsidP="000E0201">
      <w:pPr>
        <w:pStyle w:val="Text"/>
      </w:pPr>
      <w:r>
        <w:t xml:space="preserve">The CDCM model </w:t>
      </w:r>
      <w:r w:rsidR="000E0201">
        <w:t xml:space="preserve">suggests </w:t>
      </w:r>
      <w:r>
        <w:t>that</w:t>
      </w:r>
      <w:r w:rsidR="000E0201">
        <w:t>, at peak times,</w:t>
      </w:r>
      <w:r>
        <w:t xml:space="preserve"> </w:t>
      </w:r>
      <w:r w:rsidR="00D132E3">
        <w:t>the reactive power flow is 0.275kVAr for each kVA (</w:t>
      </w:r>
      <w:r w:rsidR="000E0201">
        <w:t>CDCM table 1092</w:t>
      </w:r>
      <w:r w:rsidR="00D132E3">
        <w:t>)</w:t>
      </w:r>
      <w:r w:rsidR="000E0201">
        <w:t xml:space="preserve">.  Table </w:t>
      </w:r>
      <w:r w:rsidR="000E0201">
        <w:fldChar w:fldCharType="begin"/>
      </w:r>
      <w:r w:rsidR="000E0201">
        <w:instrText xml:space="preserve"> =1+</w:instrText>
      </w:r>
      <w:r w:rsidR="000E0201">
        <w:fldChar w:fldCharType="begin"/>
      </w:r>
      <w:r w:rsidR="000E0201">
        <w:instrText xml:space="preserve"> SEQ \c Table \* ARABIC </w:instrText>
      </w:r>
      <w:r w:rsidR="000E0201">
        <w:fldChar w:fldCharType="separate"/>
      </w:r>
      <w:r w:rsidR="000E0201">
        <w:rPr>
          <w:noProof/>
        </w:rPr>
        <w:instrText>2</w:instrText>
      </w:r>
      <w:r w:rsidR="000E0201">
        <w:fldChar w:fldCharType="end"/>
      </w:r>
      <w:r w:rsidR="000E0201">
        <w:fldChar w:fldCharType="separate"/>
      </w:r>
      <w:r w:rsidR="000E0201">
        <w:rPr>
          <w:noProof/>
        </w:rPr>
        <w:t>3</w:t>
      </w:r>
      <w:r w:rsidR="000E0201">
        <w:fldChar w:fldCharType="end"/>
      </w:r>
      <w:r w:rsidR="00A67A7D">
        <w:t xml:space="preserve"> illustrates with a small increment (increment 1), a larger increment (increment 2), and an increment that matches Mr Load Manager’s demand (increment 3).</w:t>
      </w:r>
    </w:p>
    <w:p w14:paraId="2D5075D5" w14:textId="0D7D18E4" w:rsidR="000E0201" w:rsidRDefault="000E0201" w:rsidP="000E0201">
      <w:pPr>
        <w:pStyle w:val="Caption"/>
      </w:pPr>
      <w:r>
        <w:t xml:space="preserve">Table </w:t>
      </w:r>
      <w:r>
        <w:fldChar w:fldCharType="begin"/>
      </w:r>
      <w:r>
        <w:instrText xml:space="preserve"> SEQ Table \* ARABIC </w:instrText>
      </w:r>
      <w:r>
        <w:fldChar w:fldCharType="separate"/>
      </w:r>
      <w:r>
        <w:rPr>
          <w:noProof/>
        </w:rPr>
        <w:t>3</w:t>
      </w:r>
      <w:r>
        <w:fldChar w:fldCharType="end"/>
      </w:r>
      <w:r>
        <w:tab/>
        <w:t>Illustration of capacity used by reactive power on shared network assets</w:t>
      </w:r>
    </w:p>
    <w:tbl>
      <w:tblPr>
        <w:tblStyle w:val="TableGrid"/>
        <w:tblW w:w="0" w:type="auto"/>
        <w:tblLayout w:type="fixed"/>
        <w:tblLook w:val="04A0" w:firstRow="1" w:lastRow="0" w:firstColumn="1" w:lastColumn="0" w:noHBand="0" w:noVBand="1"/>
      </w:tblPr>
      <w:tblGrid>
        <w:gridCol w:w="2016"/>
        <w:gridCol w:w="1440"/>
        <w:gridCol w:w="1440"/>
        <w:gridCol w:w="1440"/>
        <w:gridCol w:w="1440"/>
        <w:gridCol w:w="1440"/>
      </w:tblGrid>
      <w:tr w:rsidR="00A67A7D" w:rsidRPr="002328FC" w14:paraId="687AA30C" w14:textId="77777777" w:rsidTr="00A67A7D">
        <w:tc>
          <w:tcPr>
            <w:tcW w:w="2016" w:type="dxa"/>
          </w:tcPr>
          <w:p w14:paraId="5C20CA5B" w14:textId="77777777" w:rsidR="00A67A7D" w:rsidRPr="002328FC" w:rsidRDefault="00A67A7D" w:rsidP="000E0201">
            <w:pPr>
              <w:pStyle w:val="Table"/>
            </w:pPr>
          </w:p>
        </w:tc>
        <w:tc>
          <w:tcPr>
            <w:tcW w:w="1440" w:type="dxa"/>
          </w:tcPr>
          <w:p w14:paraId="70FFF3F3" w14:textId="30A249C3" w:rsidR="00A67A7D" w:rsidRPr="002328FC" w:rsidRDefault="00A67A7D" w:rsidP="000E0201">
            <w:pPr>
              <w:pStyle w:val="Table"/>
              <w:jc w:val="center"/>
            </w:pPr>
            <w:proofErr w:type="gramStart"/>
            <w:r>
              <w:t>kW</w:t>
            </w:r>
            <w:proofErr w:type="gramEnd"/>
          </w:p>
        </w:tc>
        <w:tc>
          <w:tcPr>
            <w:tcW w:w="1440" w:type="dxa"/>
          </w:tcPr>
          <w:p w14:paraId="263EAAE3" w14:textId="2C0D3B2C" w:rsidR="00A67A7D" w:rsidRPr="002328FC" w:rsidRDefault="00A67A7D" w:rsidP="000E0201">
            <w:pPr>
              <w:pStyle w:val="Table"/>
              <w:jc w:val="center"/>
            </w:pPr>
            <w:proofErr w:type="spellStart"/>
            <w:proofErr w:type="gramStart"/>
            <w:r>
              <w:t>kVAr</w:t>
            </w:r>
            <w:proofErr w:type="spellEnd"/>
            <w:proofErr w:type="gramEnd"/>
          </w:p>
        </w:tc>
        <w:tc>
          <w:tcPr>
            <w:tcW w:w="1440" w:type="dxa"/>
          </w:tcPr>
          <w:p w14:paraId="4E6FA2D8" w14:textId="74A9D50F" w:rsidR="00A67A7D" w:rsidRDefault="00A67A7D" w:rsidP="000E0201">
            <w:pPr>
              <w:pStyle w:val="Table"/>
              <w:jc w:val="center"/>
            </w:pPr>
            <w:proofErr w:type="gramStart"/>
            <w:r>
              <w:t>kVA</w:t>
            </w:r>
            <w:proofErr w:type="gramEnd"/>
          </w:p>
        </w:tc>
        <w:tc>
          <w:tcPr>
            <w:tcW w:w="1440" w:type="dxa"/>
          </w:tcPr>
          <w:p w14:paraId="3E8546FD" w14:textId="4A4D28FF" w:rsidR="00A67A7D" w:rsidRDefault="00A67A7D" w:rsidP="000E0201">
            <w:pPr>
              <w:pStyle w:val="Table"/>
              <w:jc w:val="center"/>
            </w:pPr>
            <w:r>
              <w:t>Phase angle</w:t>
            </w:r>
          </w:p>
        </w:tc>
        <w:tc>
          <w:tcPr>
            <w:tcW w:w="1440" w:type="dxa"/>
          </w:tcPr>
          <w:p w14:paraId="4D2E98D0" w14:textId="7077C9CA" w:rsidR="00A67A7D" w:rsidRPr="002328FC" w:rsidRDefault="00A67A7D" w:rsidP="000E0201">
            <w:pPr>
              <w:pStyle w:val="Table"/>
              <w:jc w:val="center"/>
            </w:pPr>
            <w:r>
              <w:t>Power factor</w:t>
            </w:r>
          </w:p>
        </w:tc>
      </w:tr>
      <w:tr w:rsidR="00A67A7D" w14:paraId="7873A1B1" w14:textId="77777777" w:rsidTr="00A67A7D">
        <w:tc>
          <w:tcPr>
            <w:tcW w:w="2016" w:type="dxa"/>
          </w:tcPr>
          <w:p w14:paraId="43CDF8D9" w14:textId="4C4C3562" w:rsidR="00A67A7D" w:rsidRDefault="00A67A7D" w:rsidP="000E0201">
            <w:pPr>
              <w:pStyle w:val="Table"/>
            </w:pPr>
            <w:r>
              <w:t>Base flow</w:t>
            </w:r>
          </w:p>
        </w:tc>
        <w:tc>
          <w:tcPr>
            <w:tcW w:w="1440" w:type="dxa"/>
            <w:vAlign w:val="bottom"/>
          </w:tcPr>
          <w:p w14:paraId="4FD06F7A" w14:textId="4C894E71" w:rsidR="00A67A7D" w:rsidRPr="009019F3" w:rsidRDefault="00A67A7D" w:rsidP="000E0201">
            <w:pPr>
              <w:pStyle w:val="Table"/>
              <w:tabs>
                <w:tab w:val="clear" w:pos="720"/>
              </w:tabs>
              <w:jc w:val="right"/>
            </w:pPr>
            <w:r>
              <w:t>96,147</w:t>
            </w:r>
          </w:p>
        </w:tc>
        <w:tc>
          <w:tcPr>
            <w:tcW w:w="1440" w:type="dxa"/>
            <w:vAlign w:val="bottom"/>
          </w:tcPr>
          <w:p w14:paraId="0A518293" w14:textId="5826E7D9" w:rsidR="00A67A7D" w:rsidRPr="000E0201" w:rsidRDefault="00A67A7D" w:rsidP="000E0201">
            <w:pPr>
              <w:pStyle w:val="Table"/>
              <w:tabs>
                <w:tab w:val="clear" w:pos="720"/>
              </w:tabs>
              <w:jc w:val="right"/>
            </w:pPr>
            <w:r w:rsidRPr="000E0201">
              <w:t>27</w:t>
            </w:r>
            <w:r>
              <w:t>,</w:t>
            </w:r>
            <w:r w:rsidRPr="000E0201">
              <w:t>4</w:t>
            </w:r>
            <w:r>
              <w:t>90</w:t>
            </w:r>
          </w:p>
        </w:tc>
        <w:tc>
          <w:tcPr>
            <w:tcW w:w="1440" w:type="dxa"/>
            <w:vAlign w:val="bottom"/>
          </w:tcPr>
          <w:p w14:paraId="0D448753" w14:textId="4F90D8D5" w:rsidR="00A67A7D" w:rsidRPr="000E0201" w:rsidRDefault="00A67A7D" w:rsidP="000E0201">
            <w:pPr>
              <w:pStyle w:val="Table"/>
              <w:tabs>
                <w:tab w:val="clear" w:pos="720"/>
              </w:tabs>
              <w:jc w:val="right"/>
            </w:pPr>
            <w:r w:rsidRPr="000E0201">
              <w:t>10</w:t>
            </w:r>
            <w:r>
              <w:t>0</w:t>
            </w:r>
            <w:r w:rsidRPr="000E0201">
              <w:t>,000</w:t>
            </w:r>
          </w:p>
        </w:tc>
        <w:tc>
          <w:tcPr>
            <w:tcW w:w="1440" w:type="dxa"/>
            <w:vAlign w:val="bottom"/>
          </w:tcPr>
          <w:p w14:paraId="3B45DFC4" w14:textId="0D2A8EE3" w:rsidR="00A67A7D" w:rsidRDefault="00A67A7D" w:rsidP="000E0201">
            <w:pPr>
              <w:pStyle w:val="Table"/>
              <w:tabs>
                <w:tab w:val="clear" w:pos="720"/>
              </w:tabs>
              <w:jc w:val="right"/>
            </w:pPr>
            <w:r>
              <w:t>15.96°</w:t>
            </w:r>
          </w:p>
        </w:tc>
        <w:tc>
          <w:tcPr>
            <w:tcW w:w="1440" w:type="dxa"/>
            <w:vAlign w:val="bottom"/>
          </w:tcPr>
          <w:p w14:paraId="740B006A" w14:textId="1A013473" w:rsidR="00A67A7D" w:rsidRPr="009019F3" w:rsidRDefault="00A67A7D" w:rsidP="000E0201">
            <w:pPr>
              <w:pStyle w:val="Table"/>
              <w:tabs>
                <w:tab w:val="clear" w:pos="720"/>
              </w:tabs>
              <w:jc w:val="right"/>
            </w:pPr>
            <w:r>
              <w:t>0.961</w:t>
            </w:r>
          </w:p>
        </w:tc>
      </w:tr>
      <w:tr w:rsidR="00A67A7D" w14:paraId="3DEC6967" w14:textId="77777777" w:rsidTr="00A67A7D">
        <w:tc>
          <w:tcPr>
            <w:tcW w:w="2016" w:type="dxa"/>
          </w:tcPr>
          <w:p w14:paraId="070F0B39" w14:textId="48EA457A" w:rsidR="00A67A7D" w:rsidRDefault="00A67A7D" w:rsidP="000E0201">
            <w:pPr>
              <w:pStyle w:val="Table"/>
            </w:pPr>
            <w:r>
              <w:t>Incremented flow 1</w:t>
            </w:r>
          </w:p>
        </w:tc>
        <w:tc>
          <w:tcPr>
            <w:tcW w:w="1440" w:type="dxa"/>
            <w:vAlign w:val="bottom"/>
          </w:tcPr>
          <w:p w14:paraId="672E505D" w14:textId="3355D3B4" w:rsidR="00A67A7D" w:rsidRPr="009019F3" w:rsidRDefault="00A67A7D" w:rsidP="000E0201">
            <w:pPr>
              <w:pStyle w:val="Table"/>
              <w:tabs>
                <w:tab w:val="clear" w:pos="720"/>
              </w:tabs>
              <w:jc w:val="right"/>
            </w:pPr>
            <w:r>
              <w:t>96,147</w:t>
            </w:r>
          </w:p>
        </w:tc>
        <w:tc>
          <w:tcPr>
            <w:tcW w:w="1440" w:type="dxa"/>
            <w:vAlign w:val="bottom"/>
          </w:tcPr>
          <w:p w14:paraId="76CDE4A3" w14:textId="1A57AA9D" w:rsidR="00A67A7D" w:rsidRPr="009019F3" w:rsidRDefault="00A67A7D" w:rsidP="000E0201">
            <w:pPr>
              <w:pStyle w:val="Table"/>
              <w:tabs>
                <w:tab w:val="clear" w:pos="720"/>
              </w:tabs>
              <w:jc w:val="right"/>
            </w:pPr>
            <w:r>
              <w:t>27,690</w:t>
            </w:r>
          </w:p>
        </w:tc>
        <w:tc>
          <w:tcPr>
            <w:tcW w:w="1440" w:type="dxa"/>
            <w:vAlign w:val="bottom"/>
          </w:tcPr>
          <w:p w14:paraId="6C308E4B" w14:textId="5A3CE916" w:rsidR="00A67A7D" w:rsidRPr="000E0201" w:rsidRDefault="00A67A7D" w:rsidP="00A67A7D">
            <w:pPr>
              <w:pStyle w:val="Table"/>
              <w:tabs>
                <w:tab w:val="clear" w:pos="720"/>
              </w:tabs>
              <w:jc w:val="right"/>
            </w:pPr>
            <w:r>
              <w:t>100,055</w:t>
            </w:r>
          </w:p>
        </w:tc>
        <w:tc>
          <w:tcPr>
            <w:tcW w:w="1440" w:type="dxa"/>
            <w:vAlign w:val="bottom"/>
          </w:tcPr>
          <w:p w14:paraId="3F0C7BA6" w14:textId="34B8628C" w:rsidR="00A67A7D" w:rsidRDefault="00A67A7D" w:rsidP="000E0201">
            <w:pPr>
              <w:pStyle w:val="Table"/>
              <w:tabs>
                <w:tab w:val="clear" w:pos="720"/>
              </w:tabs>
              <w:jc w:val="right"/>
            </w:pPr>
            <w:r>
              <w:t>16.07°</w:t>
            </w:r>
          </w:p>
        </w:tc>
        <w:tc>
          <w:tcPr>
            <w:tcW w:w="1440" w:type="dxa"/>
            <w:vAlign w:val="bottom"/>
          </w:tcPr>
          <w:p w14:paraId="53C92DC9" w14:textId="02A640B1" w:rsidR="00A67A7D" w:rsidRPr="009019F3" w:rsidRDefault="00A67A7D" w:rsidP="000E0201">
            <w:pPr>
              <w:pStyle w:val="Table"/>
              <w:tabs>
                <w:tab w:val="clear" w:pos="720"/>
              </w:tabs>
              <w:jc w:val="right"/>
            </w:pPr>
            <w:r>
              <w:t>0.961</w:t>
            </w:r>
          </w:p>
        </w:tc>
      </w:tr>
      <w:tr w:rsidR="00A67A7D" w14:paraId="097A1D54" w14:textId="77777777" w:rsidTr="00A67A7D">
        <w:tc>
          <w:tcPr>
            <w:tcW w:w="2016" w:type="dxa"/>
          </w:tcPr>
          <w:p w14:paraId="74226512" w14:textId="5E78467D" w:rsidR="00A67A7D" w:rsidRDefault="00A67A7D" w:rsidP="000E0201">
            <w:pPr>
              <w:pStyle w:val="Table"/>
            </w:pPr>
            <w:r>
              <w:t>Increment 1</w:t>
            </w:r>
          </w:p>
        </w:tc>
        <w:tc>
          <w:tcPr>
            <w:tcW w:w="1440" w:type="dxa"/>
            <w:vAlign w:val="bottom"/>
          </w:tcPr>
          <w:p w14:paraId="668C5594" w14:textId="6ED2D3D5" w:rsidR="00A67A7D" w:rsidRDefault="00A67A7D" w:rsidP="000E0201">
            <w:pPr>
              <w:pStyle w:val="Table"/>
              <w:tabs>
                <w:tab w:val="clear" w:pos="720"/>
              </w:tabs>
              <w:jc w:val="right"/>
            </w:pPr>
            <w:r>
              <w:t>0</w:t>
            </w:r>
          </w:p>
        </w:tc>
        <w:tc>
          <w:tcPr>
            <w:tcW w:w="1440" w:type="dxa"/>
            <w:vAlign w:val="bottom"/>
          </w:tcPr>
          <w:p w14:paraId="30BBFA4A" w14:textId="16F3CB7A" w:rsidR="00A67A7D" w:rsidRPr="009019F3" w:rsidRDefault="00A67A7D" w:rsidP="000E0201">
            <w:pPr>
              <w:pStyle w:val="Table"/>
              <w:tabs>
                <w:tab w:val="clear" w:pos="720"/>
              </w:tabs>
              <w:jc w:val="right"/>
            </w:pPr>
            <w:r>
              <w:t>200</w:t>
            </w:r>
          </w:p>
        </w:tc>
        <w:tc>
          <w:tcPr>
            <w:tcW w:w="1440" w:type="dxa"/>
            <w:vAlign w:val="bottom"/>
          </w:tcPr>
          <w:p w14:paraId="367DB576" w14:textId="09257130" w:rsidR="00A67A7D" w:rsidRPr="000E0201" w:rsidRDefault="00A67A7D" w:rsidP="000E0201">
            <w:pPr>
              <w:pStyle w:val="Table"/>
              <w:tabs>
                <w:tab w:val="clear" w:pos="720"/>
              </w:tabs>
              <w:jc w:val="right"/>
            </w:pPr>
            <w:r>
              <w:t>55</w:t>
            </w:r>
          </w:p>
        </w:tc>
        <w:tc>
          <w:tcPr>
            <w:tcW w:w="1440" w:type="dxa"/>
            <w:vAlign w:val="bottom"/>
          </w:tcPr>
          <w:p w14:paraId="0FE18365" w14:textId="203DE826" w:rsidR="00A67A7D" w:rsidRPr="009019F3" w:rsidRDefault="00A67A7D" w:rsidP="000E0201">
            <w:pPr>
              <w:pStyle w:val="Table"/>
              <w:tabs>
                <w:tab w:val="clear" w:pos="720"/>
              </w:tabs>
              <w:jc w:val="right"/>
            </w:pPr>
            <w:r>
              <w:t>+0.11°</w:t>
            </w:r>
          </w:p>
        </w:tc>
        <w:tc>
          <w:tcPr>
            <w:tcW w:w="1440" w:type="dxa"/>
            <w:vAlign w:val="bottom"/>
          </w:tcPr>
          <w:p w14:paraId="0FA73BC6" w14:textId="5CF075BC" w:rsidR="00A67A7D" w:rsidRPr="009019F3" w:rsidRDefault="00A67A7D" w:rsidP="000E0201">
            <w:pPr>
              <w:pStyle w:val="Table"/>
              <w:tabs>
                <w:tab w:val="clear" w:pos="720"/>
              </w:tabs>
              <w:jc w:val="right"/>
            </w:pPr>
          </w:p>
        </w:tc>
      </w:tr>
      <w:tr w:rsidR="00A67A7D" w14:paraId="04FAA63E" w14:textId="77777777" w:rsidTr="00A67A7D">
        <w:tc>
          <w:tcPr>
            <w:tcW w:w="2016" w:type="dxa"/>
          </w:tcPr>
          <w:p w14:paraId="0004955A" w14:textId="77777777" w:rsidR="00A67A7D" w:rsidRDefault="00A67A7D" w:rsidP="00A67A7D">
            <w:pPr>
              <w:pStyle w:val="Table"/>
            </w:pPr>
            <w:r>
              <w:t>Incremented flow 2</w:t>
            </w:r>
          </w:p>
        </w:tc>
        <w:tc>
          <w:tcPr>
            <w:tcW w:w="1440" w:type="dxa"/>
            <w:vAlign w:val="bottom"/>
          </w:tcPr>
          <w:p w14:paraId="4AE24C60" w14:textId="77777777" w:rsidR="00A67A7D" w:rsidRPr="009019F3" w:rsidRDefault="00A67A7D" w:rsidP="00A67A7D">
            <w:pPr>
              <w:pStyle w:val="Table"/>
              <w:tabs>
                <w:tab w:val="clear" w:pos="720"/>
              </w:tabs>
              <w:jc w:val="right"/>
            </w:pPr>
            <w:r>
              <w:t>96,147</w:t>
            </w:r>
          </w:p>
        </w:tc>
        <w:tc>
          <w:tcPr>
            <w:tcW w:w="1440" w:type="dxa"/>
            <w:vAlign w:val="bottom"/>
          </w:tcPr>
          <w:p w14:paraId="6698DEEF" w14:textId="77777777" w:rsidR="00A67A7D" w:rsidRPr="009019F3" w:rsidRDefault="00A67A7D" w:rsidP="00A67A7D">
            <w:pPr>
              <w:pStyle w:val="Table"/>
              <w:tabs>
                <w:tab w:val="clear" w:pos="720"/>
              </w:tabs>
              <w:jc w:val="right"/>
            </w:pPr>
            <w:r>
              <w:t>28,490</w:t>
            </w:r>
          </w:p>
        </w:tc>
        <w:tc>
          <w:tcPr>
            <w:tcW w:w="1440" w:type="dxa"/>
            <w:vAlign w:val="bottom"/>
          </w:tcPr>
          <w:p w14:paraId="11AD5948" w14:textId="77777777" w:rsidR="00A67A7D" w:rsidRPr="000E0201" w:rsidRDefault="00A67A7D" w:rsidP="00A67A7D">
            <w:pPr>
              <w:pStyle w:val="Table"/>
              <w:tabs>
                <w:tab w:val="clear" w:pos="720"/>
              </w:tabs>
              <w:jc w:val="right"/>
            </w:pPr>
            <w:r>
              <w:t>100,279</w:t>
            </w:r>
          </w:p>
        </w:tc>
        <w:tc>
          <w:tcPr>
            <w:tcW w:w="1440" w:type="dxa"/>
            <w:vAlign w:val="bottom"/>
          </w:tcPr>
          <w:p w14:paraId="4246EC8F" w14:textId="77777777" w:rsidR="00A67A7D" w:rsidRDefault="00A67A7D" w:rsidP="00A67A7D">
            <w:pPr>
              <w:pStyle w:val="Table"/>
              <w:tabs>
                <w:tab w:val="clear" w:pos="720"/>
              </w:tabs>
              <w:jc w:val="right"/>
            </w:pPr>
            <w:r>
              <w:t>16.51°</w:t>
            </w:r>
          </w:p>
        </w:tc>
        <w:tc>
          <w:tcPr>
            <w:tcW w:w="1440" w:type="dxa"/>
            <w:vAlign w:val="bottom"/>
          </w:tcPr>
          <w:p w14:paraId="35EDF5C7" w14:textId="77777777" w:rsidR="00A67A7D" w:rsidRPr="009019F3" w:rsidRDefault="00A67A7D" w:rsidP="00A67A7D">
            <w:pPr>
              <w:pStyle w:val="Table"/>
              <w:tabs>
                <w:tab w:val="clear" w:pos="720"/>
              </w:tabs>
              <w:jc w:val="right"/>
            </w:pPr>
            <w:r>
              <w:t>0.959</w:t>
            </w:r>
          </w:p>
        </w:tc>
      </w:tr>
      <w:tr w:rsidR="00A67A7D" w14:paraId="274BBA45" w14:textId="77777777" w:rsidTr="00A67A7D">
        <w:tc>
          <w:tcPr>
            <w:tcW w:w="2016" w:type="dxa"/>
          </w:tcPr>
          <w:p w14:paraId="1EC84EEC" w14:textId="77777777" w:rsidR="00A67A7D" w:rsidRDefault="00A67A7D" w:rsidP="00A67A7D">
            <w:pPr>
              <w:pStyle w:val="Table"/>
            </w:pPr>
            <w:r>
              <w:t>Increment 2</w:t>
            </w:r>
          </w:p>
        </w:tc>
        <w:tc>
          <w:tcPr>
            <w:tcW w:w="1440" w:type="dxa"/>
            <w:vAlign w:val="bottom"/>
          </w:tcPr>
          <w:p w14:paraId="058888A2" w14:textId="77777777" w:rsidR="00A67A7D" w:rsidRDefault="00A67A7D" w:rsidP="00A67A7D">
            <w:pPr>
              <w:pStyle w:val="Table"/>
              <w:tabs>
                <w:tab w:val="clear" w:pos="720"/>
              </w:tabs>
              <w:jc w:val="right"/>
            </w:pPr>
            <w:r>
              <w:t>0</w:t>
            </w:r>
          </w:p>
        </w:tc>
        <w:tc>
          <w:tcPr>
            <w:tcW w:w="1440" w:type="dxa"/>
            <w:vAlign w:val="bottom"/>
          </w:tcPr>
          <w:p w14:paraId="61EE5A9C" w14:textId="77777777" w:rsidR="00A67A7D" w:rsidRPr="009019F3" w:rsidRDefault="00A67A7D" w:rsidP="00A67A7D">
            <w:pPr>
              <w:pStyle w:val="Table"/>
              <w:tabs>
                <w:tab w:val="clear" w:pos="720"/>
              </w:tabs>
              <w:jc w:val="right"/>
            </w:pPr>
            <w:r>
              <w:t>1,000</w:t>
            </w:r>
          </w:p>
        </w:tc>
        <w:tc>
          <w:tcPr>
            <w:tcW w:w="1440" w:type="dxa"/>
            <w:vAlign w:val="bottom"/>
          </w:tcPr>
          <w:p w14:paraId="1016EF83" w14:textId="77777777" w:rsidR="00A67A7D" w:rsidRPr="000E0201" w:rsidRDefault="00A67A7D" w:rsidP="00A67A7D">
            <w:pPr>
              <w:pStyle w:val="Table"/>
              <w:tabs>
                <w:tab w:val="clear" w:pos="720"/>
              </w:tabs>
              <w:jc w:val="right"/>
            </w:pPr>
            <w:r>
              <w:t>279</w:t>
            </w:r>
          </w:p>
        </w:tc>
        <w:tc>
          <w:tcPr>
            <w:tcW w:w="1440" w:type="dxa"/>
            <w:vAlign w:val="bottom"/>
          </w:tcPr>
          <w:p w14:paraId="5AEF2A16" w14:textId="2E3CBAB0" w:rsidR="00A67A7D" w:rsidRPr="009019F3" w:rsidRDefault="00A67A7D" w:rsidP="00A67A7D">
            <w:pPr>
              <w:pStyle w:val="Table"/>
              <w:tabs>
                <w:tab w:val="clear" w:pos="720"/>
              </w:tabs>
              <w:jc w:val="right"/>
            </w:pPr>
            <w:r>
              <w:t>+0.55°</w:t>
            </w:r>
          </w:p>
        </w:tc>
        <w:tc>
          <w:tcPr>
            <w:tcW w:w="1440" w:type="dxa"/>
            <w:vAlign w:val="bottom"/>
          </w:tcPr>
          <w:p w14:paraId="242E825C" w14:textId="77777777" w:rsidR="00A67A7D" w:rsidRPr="009019F3" w:rsidRDefault="00A67A7D" w:rsidP="00A67A7D">
            <w:pPr>
              <w:pStyle w:val="Table"/>
              <w:tabs>
                <w:tab w:val="clear" w:pos="720"/>
              </w:tabs>
              <w:jc w:val="right"/>
            </w:pPr>
          </w:p>
        </w:tc>
      </w:tr>
      <w:tr w:rsidR="00A67A7D" w14:paraId="30ACD459" w14:textId="77777777" w:rsidTr="00A67A7D">
        <w:tc>
          <w:tcPr>
            <w:tcW w:w="2016" w:type="dxa"/>
          </w:tcPr>
          <w:p w14:paraId="45D59B4B" w14:textId="56F20B0A" w:rsidR="00A67A7D" w:rsidRDefault="00A67A7D" w:rsidP="00A67A7D">
            <w:pPr>
              <w:pStyle w:val="Table"/>
            </w:pPr>
            <w:r>
              <w:t>Incremented flow 3</w:t>
            </w:r>
          </w:p>
        </w:tc>
        <w:tc>
          <w:tcPr>
            <w:tcW w:w="1440" w:type="dxa"/>
            <w:vAlign w:val="bottom"/>
          </w:tcPr>
          <w:p w14:paraId="2EB356F3" w14:textId="414B75E4" w:rsidR="00A67A7D" w:rsidRPr="009019F3" w:rsidRDefault="00A67A7D" w:rsidP="00A67A7D">
            <w:pPr>
              <w:pStyle w:val="Table"/>
              <w:tabs>
                <w:tab w:val="clear" w:pos="720"/>
              </w:tabs>
              <w:jc w:val="right"/>
            </w:pPr>
            <w:r>
              <w:t>96,197</w:t>
            </w:r>
          </w:p>
        </w:tc>
        <w:tc>
          <w:tcPr>
            <w:tcW w:w="1440" w:type="dxa"/>
            <w:vAlign w:val="bottom"/>
          </w:tcPr>
          <w:p w14:paraId="311B85CA" w14:textId="00E6F0DB" w:rsidR="00A67A7D" w:rsidRPr="009019F3" w:rsidRDefault="00A67A7D" w:rsidP="00A67A7D">
            <w:pPr>
              <w:pStyle w:val="Table"/>
              <w:tabs>
                <w:tab w:val="clear" w:pos="720"/>
              </w:tabs>
              <w:jc w:val="right"/>
            </w:pPr>
            <w:r>
              <w:t>28,490</w:t>
            </w:r>
          </w:p>
        </w:tc>
        <w:tc>
          <w:tcPr>
            <w:tcW w:w="1440" w:type="dxa"/>
            <w:vAlign w:val="bottom"/>
          </w:tcPr>
          <w:p w14:paraId="07E8643D" w14:textId="39534FBA" w:rsidR="00A67A7D" w:rsidRPr="000E0201" w:rsidRDefault="00A67A7D" w:rsidP="00A67A7D">
            <w:pPr>
              <w:pStyle w:val="Table"/>
              <w:tabs>
                <w:tab w:val="clear" w:pos="720"/>
              </w:tabs>
              <w:jc w:val="right"/>
            </w:pPr>
            <w:r>
              <w:t>100,327</w:t>
            </w:r>
          </w:p>
        </w:tc>
        <w:tc>
          <w:tcPr>
            <w:tcW w:w="1440" w:type="dxa"/>
            <w:vAlign w:val="bottom"/>
          </w:tcPr>
          <w:p w14:paraId="4708CFD2" w14:textId="778D1BA9" w:rsidR="00A67A7D" w:rsidRDefault="00A67A7D" w:rsidP="00A67A7D">
            <w:pPr>
              <w:pStyle w:val="Table"/>
              <w:tabs>
                <w:tab w:val="clear" w:pos="720"/>
              </w:tabs>
              <w:jc w:val="right"/>
            </w:pPr>
            <w:r>
              <w:t>16.50°</w:t>
            </w:r>
          </w:p>
        </w:tc>
        <w:tc>
          <w:tcPr>
            <w:tcW w:w="1440" w:type="dxa"/>
            <w:vAlign w:val="bottom"/>
          </w:tcPr>
          <w:p w14:paraId="795A2111" w14:textId="597A61DA" w:rsidR="00A67A7D" w:rsidRPr="009019F3" w:rsidRDefault="00A67A7D" w:rsidP="00A67A7D">
            <w:pPr>
              <w:pStyle w:val="Table"/>
              <w:tabs>
                <w:tab w:val="clear" w:pos="720"/>
              </w:tabs>
              <w:jc w:val="right"/>
            </w:pPr>
            <w:r>
              <w:t>0.959</w:t>
            </w:r>
          </w:p>
        </w:tc>
      </w:tr>
      <w:tr w:rsidR="00A67A7D" w14:paraId="6FF05086" w14:textId="77777777" w:rsidTr="00A67A7D">
        <w:tc>
          <w:tcPr>
            <w:tcW w:w="2016" w:type="dxa"/>
          </w:tcPr>
          <w:p w14:paraId="715B2110" w14:textId="3D081C5E" w:rsidR="00A67A7D" w:rsidRDefault="00A67A7D" w:rsidP="00A67A7D">
            <w:pPr>
              <w:pStyle w:val="Table"/>
            </w:pPr>
            <w:r>
              <w:t>Increment 3</w:t>
            </w:r>
          </w:p>
        </w:tc>
        <w:tc>
          <w:tcPr>
            <w:tcW w:w="1440" w:type="dxa"/>
            <w:vAlign w:val="bottom"/>
          </w:tcPr>
          <w:p w14:paraId="50104EA2" w14:textId="7B6B1B67" w:rsidR="00A67A7D" w:rsidRDefault="00A67A7D" w:rsidP="00A67A7D">
            <w:pPr>
              <w:pStyle w:val="Table"/>
              <w:tabs>
                <w:tab w:val="clear" w:pos="720"/>
              </w:tabs>
              <w:jc w:val="right"/>
            </w:pPr>
            <w:r>
              <w:t>50</w:t>
            </w:r>
          </w:p>
        </w:tc>
        <w:tc>
          <w:tcPr>
            <w:tcW w:w="1440" w:type="dxa"/>
            <w:vAlign w:val="bottom"/>
          </w:tcPr>
          <w:p w14:paraId="1CA58561" w14:textId="517B86CC" w:rsidR="00A67A7D" w:rsidRPr="009019F3" w:rsidRDefault="00A67A7D" w:rsidP="00A67A7D">
            <w:pPr>
              <w:pStyle w:val="Table"/>
              <w:tabs>
                <w:tab w:val="clear" w:pos="720"/>
              </w:tabs>
              <w:jc w:val="right"/>
            </w:pPr>
            <w:r>
              <w:t>1,000</w:t>
            </w:r>
          </w:p>
        </w:tc>
        <w:tc>
          <w:tcPr>
            <w:tcW w:w="1440" w:type="dxa"/>
            <w:vAlign w:val="bottom"/>
          </w:tcPr>
          <w:p w14:paraId="14FA9CA1" w14:textId="483FD672" w:rsidR="00A67A7D" w:rsidRPr="000E0201" w:rsidRDefault="00A67A7D" w:rsidP="00A67A7D">
            <w:pPr>
              <w:pStyle w:val="Table"/>
              <w:tabs>
                <w:tab w:val="clear" w:pos="720"/>
              </w:tabs>
              <w:jc w:val="right"/>
            </w:pPr>
            <w:r>
              <w:t>327</w:t>
            </w:r>
          </w:p>
        </w:tc>
        <w:tc>
          <w:tcPr>
            <w:tcW w:w="1440" w:type="dxa"/>
            <w:vAlign w:val="bottom"/>
          </w:tcPr>
          <w:p w14:paraId="4748A6D2" w14:textId="48F7F135" w:rsidR="00A67A7D" w:rsidRPr="009019F3" w:rsidRDefault="00A67A7D" w:rsidP="00A67A7D">
            <w:pPr>
              <w:pStyle w:val="Table"/>
              <w:tabs>
                <w:tab w:val="clear" w:pos="720"/>
              </w:tabs>
              <w:jc w:val="right"/>
            </w:pPr>
            <w:r>
              <w:t>+0.54°</w:t>
            </w:r>
          </w:p>
        </w:tc>
        <w:tc>
          <w:tcPr>
            <w:tcW w:w="1440" w:type="dxa"/>
            <w:vAlign w:val="bottom"/>
          </w:tcPr>
          <w:p w14:paraId="6D577D6A" w14:textId="38198D25" w:rsidR="00A67A7D" w:rsidRPr="009019F3" w:rsidRDefault="00A67A7D" w:rsidP="00A67A7D">
            <w:pPr>
              <w:pStyle w:val="Table"/>
              <w:tabs>
                <w:tab w:val="clear" w:pos="720"/>
              </w:tabs>
              <w:jc w:val="right"/>
            </w:pPr>
          </w:p>
        </w:tc>
      </w:tr>
    </w:tbl>
    <w:p w14:paraId="2E804F09" w14:textId="77777777" w:rsidR="000E0201" w:rsidRDefault="000E0201" w:rsidP="000E0201">
      <w:pPr>
        <w:pStyle w:val="TableLastNote"/>
      </w:pPr>
    </w:p>
    <w:p w14:paraId="3E9F9F60" w14:textId="70221199" w:rsidR="000E0201" w:rsidRPr="00E24A22" w:rsidRDefault="000E0201" w:rsidP="00E24A22">
      <w:pPr>
        <w:pStyle w:val="Text"/>
      </w:pPr>
      <w:r>
        <w:t xml:space="preserve">This parameter 0.275 underpins the calculation of CDCM excess reactive power charges.  </w:t>
      </w:r>
      <w:proofErr w:type="gramStart"/>
      <w:r>
        <w:t>A similar concept should have been used to charge for consumption of reactive power by EDCM customers</w:t>
      </w:r>
      <w:proofErr w:type="gramEnd"/>
      <w:r>
        <w:t>.</w:t>
      </w:r>
      <w:r w:rsidR="00A67A7D">
        <w:t xml:space="preserve">  This would have meant that Mr Load Manager would</w:t>
      </w:r>
      <w:r w:rsidR="00D132E3">
        <w:t xml:space="preserve"> have been charged for about 327</w:t>
      </w:r>
      <w:r w:rsidR="00A67A7D">
        <w:t xml:space="preserve">kVA of </w:t>
      </w:r>
      <w:r w:rsidR="00D132E3">
        <w:t xml:space="preserve">network capacity (50 kW plus about 275kVA on account of the 1,000kVA of reactive power), which is about one third of the </w:t>
      </w:r>
      <w:r w:rsidR="00A67A7D">
        <w:t xml:space="preserve">1,001kVA </w:t>
      </w:r>
      <w:r w:rsidR="00D132E3">
        <w:t>that DCP 183 uses to calculate charges.</w:t>
      </w:r>
    </w:p>
    <w:sectPr w:rsidR="000E0201" w:rsidRPr="00E24A22" w:rsidSect="00A5429F">
      <w:footerReference w:type="default" r:id="rId12"/>
      <w:pgSz w:w="11900" w:h="16840"/>
      <w:pgMar w:top="1440" w:right="1440" w:bottom="1440" w:left="1440" w:header="835"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7B645" w14:textId="77777777" w:rsidR="00A67A7D" w:rsidRDefault="00A67A7D" w:rsidP="00932267">
      <w:pPr>
        <w:spacing w:after="0"/>
      </w:pPr>
      <w:r>
        <w:separator/>
      </w:r>
    </w:p>
  </w:endnote>
  <w:endnote w:type="continuationSeparator" w:id="0">
    <w:p w14:paraId="2C178021" w14:textId="77777777" w:rsidR="00A67A7D" w:rsidRDefault="00A67A7D" w:rsidP="00932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MS Gothic">
    <w:altName w:val="?? ????"/>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2681" w14:textId="77777777" w:rsidR="00A67A7D" w:rsidRDefault="00A67A7D">
    <w:pPr>
      <w:pStyle w:val="Footer"/>
    </w:pPr>
    <w:proofErr w:type="gramStart"/>
    <w:r>
      <w:t>dcmf.co.uk</w:t>
    </w:r>
    <w:proofErr w:type="gramEnd"/>
    <w:r>
      <w:t>/alerts</w:t>
    </w:r>
    <w:r w:rsidRPr="008021FC">
      <w:tab/>
    </w:r>
    <w:r>
      <w:fldChar w:fldCharType="begin"/>
    </w:r>
    <w:r>
      <w:instrText xml:space="preserve"> PAGE  \* MERGEFORMAT </w:instrText>
    </w:r>
    <w:r>
      <w:fldChar w:fldCharType="separate"/>
    </w:r>
    <w:r w:rsidR="00D91256">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0B50C" w14:textId="77777777" w:rsidR="00A67A7D" w:rsidRDefault="00A67A7D" w:rsidP="00932267">
      <w:pPr>
        <w:spacing w:after="0"/>
      </w:pPr>
      <w:r>
        <w:separator/>
      </w:r>
    </w:p>
  </w:footnote>
  <w:footnote w:type="continuationSeparator" w:id="0">
    <w:p w14:paraId="54E61F46" w14:textId="77777777" w:rsidR="00A67A7D" w:rsidRDefault="00A67A7D" w:rsidP="00932267">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4258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3">
    <w:nsid w:val="1FB87DBC"/>
    <w:multiLevelType w:val="multilevel"/>
    <w:tmpl w:val="17A6AED0"/>
    <w:lvl w:ilvl="0">
      <w:start w:val="1"/>
      <w:numFmt w:val="none"/>
      <w:pStyle w:val="Heading1"/>
      <w:suff w:val="nothing"/>
      <w:lvlText w:val=""/>
      <w:lvlJc w:val="left"/>
      <w:rPr>
        <w:rFonts w:hint="default"/>
      </w:rPr>
    </w:lvl>
    <w:lvl w:ilvl="1">
      <w:start w:val="1"/>
      <w:numFmt w:val="decimal"/>
      <w:lvlRestart w:val="0"/>
      <w:pStyle w:val="Text"/>
      <w:lvlText w:val="%2."/>
      <w:lvlJc w:val="left"/>
      <w:pPr>
        <w:tabs>
          <w:tab w:val="num" w:pos="720"/>
        </w:tabs>
        <w:ind w:left="720" w:hanging="720"/>
      </w:pPr>
      <w:rPr>
        <w:rFonts w:hint="default"/>
      </w:rPr>
    </w:lvl>
    <w:lvl w:ilvl="2">
      <w:start w:val="1"/>
      <w:numFmt w:val="lowerLetter"/>
      <w:pStyle w:val="ListBullet"/>
      <w:lvlText w:val="(%3)"/>
      <w:lvlJc w:val="left"/>
      <w:pPr>
        <w:tabs>
          <w:tab w:val="num" w:pos="1195"/>
        </w:tabs>
        <w:ind w:left="1195" w:hanging="475"/>
      </w:pPr>
      <w:rPr>
        <w:rFonts w:hint="default"/>
      </w:rPr>
    </w:lvl>
    <w:lvl w:ilvl="3">
      <w:start w:val="1"/>
      <w:numFmt w:val="lowerRoman"/>
      <w:pStyle w:val="ListBullet2"/>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
    <w:nsid w:val="7F5B2626"/>
    <w:multiLevelType w:val="multilevel"/>
    <w:tmpl w:val="31B07D0A"/>
    <w:lvl w:ilvl="0">
      <w:start w:val="1"/>
      <w:numFmt w:val="decimal"/>
      <w:lvlText w:val="%1"/>
      <w:lvlJc w:val="left"/>
      <w:pPr>
        <w:tabs>
          <w:tab w:val="num" w:pos="432"/>
        </w:tabs>
        <w:ind w:left="432" w:hanging="432"/>
      </w:pPr>
      <w:rPr>
        <w:rFonts w:cs="Times New Roman"/>
        <w:b/>
        <w:sz w:val="22"/>
        <w:szCs w:val="22"/>
      </w:rPr>
    </w:lvl>
    <w:lvl w:ilvl="1">
      <w:start w:val="1"/>
      <w:numFmt w:val="bullet"/>
      <w:lvlText w:val=""/>
      <w:lvlJc w:val="left"/>
      <w:pPr>
        <w:tabs>
          <w:tab w:val="num" w:pos="860"/>
        </w:tabs>
        <w:ind w:left="860" w:hanging="576"/>
      </w:pPr>
      <w:rPr>
        <w:rFonts w:hAnsi="Symbol" w:hint="default"/>
        <w:b w:val="0"/>
        <w:i w:val="0"/>
        <w:smallCaps w:val="0"/>
        <w: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2"/>
  </w:num>
  <w:num w:numId="2">
    <w:abstractNumId w:val="1"/>
  </w:num>
  <w:num w:numId="3">
    <w:abstractNumId w:val="3"/>
  </w:num>
  <w:num w:numId="4">
    <w:abstractNumId w:val="2"/>
  </w:num>
  <w:num w:numId="5">
    <w:abstractNumId w:val="3"/>
  </w:num>
  <w:num w:numId="6">
    <w:abstractNumId w:val="1"/>
  </w:num>
  <w:num w:numId="7">
    <w:abstractNumId w:val="3"/>
  </w:num>
  <w:num w:numId="8">
    <w:abstractNumId w:val="3"/>
  </w:num>
  <w:num w:numId="9">
    <w:abstractNumId w:val="3"/>
  </w:num>
  <w:num w:numId="10">
    <w:abstractNumId w:val="3"/>
  </w:num>
  <w:num w:numId="11">
    <w:abstractNumId w:val="3"/>
  </w:num>
  <w:num w:numId="12">
    <w:abstractNumId w:val="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D4D3E"/>
    <w:rsid w:val="00011B3A"/>
    <w:rsid w:val="00027422"/>
    <w:rsid w:val="000669E4"/>
    <w:rsid w:val="000A37E5"/>
    <w:rsid w:val="000C7EE2"/>
    <w:rsid w:val="000E0201"/>
    <w:rsid w:val="000E0E10"/>
    <w:rsid w:val="00103AFF"/>
    <w:rsid w:val="00123180"/>
    <w:rsid w:val="00123576"/>
    <w:rsid w:val="00126CC2"/>
    <w:rsid w:val="001379BE"/>
    <w:rsid w:val="00137EB9"/>
    <w:rsid w:val="001653E9"/>
    <w:rsid w:val="00185418"/>
    <w:rsid w:val="001A76F5"/>
    <w:rsid w:val="001C4608"/>
    <w:rsid w:val="00207D92"/>
    <w:rsid w:val="002328FC"/>
    <w:rsid w:val="00233D1C"/>
    <w:rsid w:val="00262D52"/>
    <w:rsid w:val="002B6F53"/>
    <w:rsid w:val="002E1981"/>
    <w:rsid w:val="0031723C"/>
    <w:rsid w:val="00355C86"/>
    <w:rsid w:val="00393C0B"/>
    <w:rsid w:val="003D055C"/>
    <w:rsid w:val="003D3709"/>
    <w:rsid w:val="003D4D3E"/>
    <w:rsid w:val="004147B7"/>
    <w:rsid w:val="00415A21"/>
    <w:rsid w:val="004661C2"/>
    <w:rsid w:val="004C16B4"/>
    <w:rsid w:val="004D3891"/>
    <w:rsid w:val="004E2AEF"/>
    <w:rsid w:val="004E6A88"/>
    <w:rsid w:val="00563FA8"/>
    <w:rsid w:val="005806D6"/>
    <w:rsid w:val="005C7889"/>
    <w:rsid w:val="005F375E"/>
    <w:rsid w:val="005F4B16"/>
    <w:rsid w:val="00600940"/>
    <w:rsid w:val="00616E88"/>
    <w:rsid w:val="00631F58"/>
    <w:rsid w:val="006424D4"/>
    <w:rsid w:val="00645813"/>
    <w:rsid w:val="00654360"/>
    <w:rsid w:val="00673DFE"/>
    <w:rsid w:val="00677898"/>
    <w:rsid w:val="00692D3E"/>
    <w:rsid w:val="006A4E0E"/>
    <w:rsid w:val="006C6CAD"/>
    <w:rsid w:val="006C74D5"/>
    <w:rsid w:val="0075675F"/>
    <w:rsid w:val="00790D33"/>
    <w:rsid w:val="007A1C31"/>
    <w:rsid w:val="007A58EC"/>
    <w:rsid w:val="007B4632"/>
    <w:rsid w:val="00800938"/>
    <w:rsid w:val="008137C8"/>
    <w:rsid w:val="0083011A"/>
    <w:rsid w:val="00830F73"/>
    <w:rsid w:val="008620BE"/>
    <w:rsid w:val="0088202D"/>
    <w:rsid w:val="00887D4D"/>
    <w:rsid w:val="008A05A5"/>
    <w:rsid w:val="008A4F7C"/>
    <w:rsid w:val="008C0EF0"/>
    <w:rsid w:val="008F1A20"/>
    <w:rsid w:val="009019F3"/>
    <w:rsid w:val="00930C22"/>
    <w:rsid w:val="00932267"/>
    <w:rsid w:val="0095680E"/>
    <w:rsid w:val="00956C0B"/>
    <w:rsid w:val="00961F54"/>
    <w:rsid w:val="00975266"/>
    <w:rsid w:val="00992466"/>
    <w:rsid w:val="009A1581"/>
    <w:rsid w:val="009D4536"/>
    <w:rsid w:val="009F1DB7"/>
    <w:rsid w:val="009F50F0"/>
    <w:rsid w:val="009F6360"/>
    <w:rsid w:val="00A045BC"/>
    <w:rsid w:val="00A5429F"/>
    <w:rsid w:val="00A65744"/>
    <w:rsid w:val="00A67A7D"/>
    <w:rsid w:val="00A70C03"/>
    <w:rsid w:val="00A7628D"/>
    <w:rsid w:val="00AD478C"/>
    <w:rsid w:val="00AD5EE9"/>
    <w:rsid w:val="00B0663C"/>
    <w:rsid w:val="00B06763"/>
    <w:rsid w:val="00B31B53"/>
    <w:rsid w:val="00B37C43"/>
    <w:rsid w:val="00B47E33"/>
    <w:rsid w:val="00B572C0"/>
    <w:rsid w:val="00B80214"/>
    <w:rsid w:val="00B87AF3"/>
    <w:rsid w:val="00C11E19"/>
    <w:rsid w:val="00C273EE"/>
    <w:rsid w:val="00C8199B"/>
    <w:rsid w:val="00C81C62"/>
    <w:rsid w:val="00CD59B8"/>
    <w:rsid w:val="00D1009D"/>
    <w:rsid w:val="00D132E3"/>
    <w:rsid w:val="00D62425"/>
    <w:rsid w:val="00D844C1"/>
    <w:rsid w:val="00D91256"/>
    <w:rsid w:val="00D944ED"/>
    <w:rsid w:val="00DB05B9"/>
    <w:rsid w:val="00DC3BAC"/>
    <w:rsid w:val="00DD3A99"/>
    <w:rsid w:val="00DE03CF"/>
    <w:rsid w:val="00DF69D2"/>
    <w:rsid w:val="00E10DA0"/>
    <w:rsid w:val="00E24A22"/>
    <w:rsid w:val="00E44788"/>
    <w:rsid w:val="00E479CF"/>
    <w:rsid w:val="00E47D70"/>
    <w:rsid w:val="00E70261"/>
    <w:rsid w:val="00E871CE"/>
    <w:rsid w:val="00E9361D"/>
    <w:rsid w:val="00EB1123"/>
    <w:rsid w:val="00ED53D0"/>
    <w:rsid w:val="00F377F2"/>
    <w:rsid w:val="00F75AF7"/>
    <w:rsid w:val="00FB3676"/>
    <w:rsid w:val="00FD3EA9"/>
    <w:rsid w:val="00FF3BC3"/>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FADE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rsid w:val="00123180"/>
    <w:pPr>
      <w:keepNext/>
      <w:numPr>
        <w:numId w:val="3"/>
      </w:numPr>
      <w:tabs>
        <w:tab w:val="right" w:pos="9000"/>
      </w:tabs>
      <w:jc w:val="left"/>
      <w:outlineLvl w:val="0"/>
    </w:pPr>
    <w:rPr>
      <w:rFonts w:ascii="Arial" w:hAnsi="Arial"/>
      <w:b/>
      <w:kern w:val="0"/>
      <w:sz w:val="28"/>
      <w:szCs w:val="24"/>
      <w:lang w:eastAsia="ja-JP"/>
    </w:rPr>
  </w:style>
  <w:style w:type="paragraph" w:styleId="Heading2">
    <w:name w:val="heading 2"/>
    <w:basedOn w:val="Normal"/>
    <w:next w:val="Text"/>
    <w:qFormat/>
    <w:rsid w:val="00355C86"/>
    <w:pPr>
      <w:keepNext/>
      <w:jc w:val="left"/>
      <w:outlineLvl w:val="1"/>
    </w:pPr>
    <w:rPr>
      <w:rFonts w:ascii="Arial" w:hAnsi="Arial"/>
      <w:b/>
      <w:color w:val="333333"/>
      <w:kern w:val="0"/>
      <w:sz w:val="22"/>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rsid w:val="00ED53D0"/>
    <w:pPr>
      <w:tabs>
        <w:tab w:val="num" w:pos="720"/>
      </w:tabs>
      <w:spacing w:before="60" w:after="6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paragraph" w:customStyle="1" w:styleId="TableCV">
    <w:name w:val="Table CV"/>
    <w:basedOn w:val="TableNotes"/>
    <w:rsid w:val="00123576"/>
    <w:pPr>
      <w:keepNext w:val="0"/>
      <w:spacing w:after="0"/>
    </w:pPr>
    <w:rPr>
      <w:i w:val="0"/>
      <w:sz w:val="24"/>
      <w:szCs w:val="24"/>
    </w:rPr>
  </w:style>
  <w:style w:type="paragraph" w:customStyle="1" w:styleId="TableCVStrong">
    <w:name w:val="Table CV Strong"/>
    <w:basedOn w:val="TableCV"/>
    <w:next w:val="TableCV"/>
    <w:rsid w:val="00123576"/>
    <w:pPr>
      <w:spacing w:before="240"/>
    </w:pPr>
    <w:rPr>
      <w:b/>
    </w:rPr>
  </w:style>
  <w:style w:type="paragraph" w:customStyle="1" w:styleId="TableCVTitle">
    <w:name w:val="Table CV Title"/>
    <w:basedOn w:val="TableCV"/>
    <w:rsid w:val="00123576"/>
    <w:pPr>
      <w:spacing w:before="0" w:after="200"/>
    </w:pPr>
    <w:rPr>
      <w:rFonts w:ascii="Arial Black" w:hAnsi="Arial Black"/>
      <w:sz w:val="28"/>
      <w:szCs w:val="28"/>
    </w:rPr>
  </w:style>
  <w:style w:type="paragraph" w:customStyle="1" w:styleId="tablenote">
    <w:name w:val="table note"/>
    <w:basedOn w:val="Text"/>
    <w:rsid w:val="00CD59B8"/>
  </w:style>
  <w:style w:type="paragraph" w:customStyle="1" w:styleId="Masthead">
    <w:name w:val="Masthead"/>
    <w:basedOn w:val="Normal"/>
    <w:rsid w:val="004D3891"/>
    <w:pPr>
      <w:numPr>
        <w:numId w:val="3"/>
      </w:numPr>
      <w:tabs>
        <w:tab w:val="right" w:pos="9000"/>
      </w:tabs>
      <w:outlineLvl w:val="3"/>
    </w:pPr>
    <w:rPr>
      <w:rFonts w:ascii="Arial" w:hAnsi="Arial"/>
      <w:b/>
      <w:sz w:val="20"/>
    </w:rPr>
  </w:style>
  <w:style w:type="paragraph" w:customStyle="1" w:styleId="Table10BC">
    <w:name w:val="Table 10BC"/>
    <w:basedOn w:val="Table"/>
    <w:rsid w:val="00600940"/>
    <w:pPr>
      <w:jc w:val="center"/>
    </w:pPr>
    <w:rPr>
      <w:b/>
      <w:sz w:val="20"/>
    </w:rPr>
  </w:style>
  <w:style w:type="paragraph" w:styleId="BalloonText">
    <w:name w:val="Balloon Text"/>
    <w:basedOn w:val="Normal"/>
    <w:link w:val="BalloonTextChar"/>
    <w:uiPriority w:val="99"/>
    <w:semiHidden/>
    <w:unhideWhenUsed/>
    <w:rsid w:val="003D4D3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D3E"/>
    <w:rPr>
      <w:rFonts w:ascii="Lucida Grande" w:hAnsi="Lucida Grande" w:cs="Lucida Grande"/>
      <w:kern w:val="14"/>
      <w:sz w:val="18"/>
      <w:szCs w:val="18"/>
      <w:lang w:val="en-GB" w:bidi="en-US"/>
    </w:rPr>
  </w:style>
  <w:style w:type="paragraph" w:styleId="NormalWeb">
    <w:name w:val="Normal (Web)"/>
    <w:basedOn w:val="Normal"/>
    <w:uiPriority w:val="99"/>
    <w:semiHidden/>
    <w:unhideWhenUsed/>
    <w:rsid w:val="00011B3A"/>
    <w:pPr>
      <w:spacing w:before="100" w:beforeAutospacing="1" w:after="100" w:afterAutospacing="1"/>
      <w:jc w:val="left"/>
    </w:pPr>
    <w:rPr>
      <w:rFonts w:ascii="Times" w:hAnsi="Times"/>
      <w:kern w:val="0"/>
      <w:sz w:val="20"/>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rsid w:val="00123180"/>
    <w:pPr>
      <w:keepNext/>
      <w:numPr>
        <w:numId w:val="3"/>
      </w:numPr>
      <w:tabs>
        <w:tab w:val="right" w:pos="9000"/>
      </w:tabs>
      <w:jc w:val="left"/>
      <w:outlineLvl w:val="0"/>
    </w:pPr>
    <w:rPr>
      <w:rFonts w:ascii="Arial" w:hAnsi="Arial"/>
      <w:b/>
      <w:kern w:val="0"/>
      <w:sz w:val="28"/>
      <w:szCs w:val="24"/>
      <w:lang w:eastAsia="ja-JP"/>
    </w:rPr>
  </w:style>
  <w:style w:type="paragraph" w:styleId="Heading2">
    <w:name w:val="heading 2"/>
    <w:basedOn w:val="Normal"/>
    <w:next w:val="Text"/>
    <w:qFormat/>
    <w:rsid w:val="00355C86"/>
    <w:pPr>
      <w:keepNext/>
      <w:jc w:val="left"/>
      <w:outlineLvl w:val="1"/>
    </w:pPr>
    <w:rPr>
      <w:rFonts w:ascii="Arial" w:hAnsi="Arial"/>
      <w:b/>
      <w:color w:val="333333"/>
      <w:kern w:val="0"/>
      <w:sz w:val="22"/>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rsid w:val="00ED53D0"/>
    <w:pPr>
      <w:tabs>
        <w:tab w:val="num" w:pos="720"/>
      </w:tabs>
      <w:spacing w:before="60" w:after="6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paragraph" w:customStyle="1" w:styleId="TableCV">
    <w:name w:val="Table CV"/>
    <w:basedOn w:val="TableNotes"/>
    <w:rsid w:val="00123576"/>
    <w:pPr>
      <w:keepNext w:val="0"/>
      <w:spacing w:after="0"/>
    </w:pPr>
    <w:rPr>
      <w:i w:val="0"/>
      <w:sz w:val="24"/>
      <w:szCs w:val="24"/>
    </w:rPr>
  </w:style>
  <w:style w:type="paragraph" w:customStyle="1" w:styleId="TableCVStrong">
    <w:name w:val="Table CV Strong"/>
    <w:basedOn w:val="TableCV"/>
    <w:next w:val="TableCV"/>
    <w:rsid w:val="00123576"/>
    <w:pPr>
      <w:spacing w:before="240"/>
    </w:pPr>
    <w:rPr>
      <w:b/>
    </w:rPr>
  </w:style>
  <w:style w:type="paragraph" w:customStyle="1" w:styleId="TableCVTitle">
    <w:name w:val="Table CV Title"/>
    <w:basedOn w:val="TableCV"/>
    <w:rsid w:val="00123576"/>
    <w:pPr>
      <w:spacing w:before="0" w:after="200"/>
    </w:pPr>
    <w:rPr>
      <w:rFonts w:ascii="Arial Black" w:hAnsi="Arial Black"/>
      <w:sz w:val="28"/>
      <w:szCs w:val="28"/>
    </w:rPr>
  </w:style>
  <w:style w:type="paragraph" w:customStyle="1" w:styleId="tablenote">
    <w:name w:val="table note"/>
    <w:basedOn w:val="Text"/>
    <w:rsid w:val="00CD59B8"/>
  </w:style>
  <w:style w:type="paragraph" w:customStyle="1" w:styleId="Masthead">
    <w:name w:val="Masthead"/>
    <w:basedOn w:val="Normal"/>
    <w:rsid w:val="004D3891"/>
    <w:pPr>
      <w:numPr>
        <w:numId w:val="3"/>
      </w:numPr>
      <w:tabs>
        <w:tab w:val="right" w:pos="9000"/>
      </w:tabs>
      <w:outlineLvl w:val="3"/>
    </w:pPr>
    <w:rPr>
      <w:rFonts w:ascii="Arial" w:hAnsi="Arial"/>
      <w:b/>
      <w:sz w:val="20"/>
    </w:rPr>
  </w:style>
  <w:style w:type="paragraph" w:customStyle="1" w:styleId="Table10BC">
    <w:name w:val="Table 10BC"/>
    <w:basedOn w:val="Table"/>
    <w:rsid w:val="00600940"/>
    <w:pPr>
      <w:jc w:val="center"/>
    </w:pPr>
    <w:rPr>
      <w:b/>
      <w:sz w:val="20"/>
    </w:rPr>
  </w:style>
  <w:style w:type="paragraph" w:styleId="BalloonText">
    <w:name w:val="Balloon Text"/>
    <w:basedOn w:val="Normal"/>
    <w:link w:val="BalloonTextChar"/>
    <w:uiPriority w:val="99"/>
    <w:semiHidden/>
    <w:unhideWhenUsed/>
    <w:rsid w:val="003D4D3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D3E"/>
    <w:rPr>
      <w:rFonts w:ascii="Lucida Grande" w:hAnsi="Lucida Grande" w:cs="Lucida Grande"/>
      <w:kern w:val="14"/>
      <w:sz w:val="18"/>
      <w:szCs w:val="18"/>
      <w:lang w:val="en-GB" w:bidi="en-US"/>
    </w:rPr>
  </w:style>
  <w:style w:type="paragraph" w:styleId="NormalWeb">
    <w:name w:val="Normal (Web)"/>
    <w:basedOn w:val="Normal"/>
    <w:uiPriority w:val="99"/>
    <w:semiHidden/>
    <w:unhideWhenUsed/>
    <w:rsid w:val="00011B3A"/>
    <w:pPr>
      <w:spacing w:before="100" w:beforeAutospacing="1" w:after="100" w:afterAutospacing="1"/>
      <w:jc w:val="left"/>
    </w:pPr>
    <w:rPr>
      <w:rFonts w:ascii="Times" w:hAnsi="Times"/>
      <w:kern w:val="0"/>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901">
      <w:bodyDiv w:val="1"/>
      <w:marLeft w:val="0"/>
      <w:marRight w:val="0"/>
      <w:marTop w:val="0"/>
      <w:marBottom w:val="0"/>
      <w:divBdr>
        <w:top w:val="none" w:sz="0" w:space="0" w:color="auto"/>
        <w:left w:val="none" w:sz="0" w:space="0" w:color="auto"/>
        <w:bottom w:val="none" w:sz="0" w:space="0" w:color="auto"/>
        <w:right w:val="none" w:sz="0" w:space="0" w:color="auto"/>
      </w:divBdr>
    </w:div>
    <w:div w:id="572081041">
      <w:bodyDiv w:val="1"/>
      <w:marLeft w:val="0"/>
      <w:marRight w:val="0"/>
      <w:marTop w:val="0"/>
      <w:marBottom w:val="0"/>
      <w:divBdr>
        <w:top w:val="none" w:sz="0" w:space="0" w:color="auto"/>
        <w:left w:val="none" w:sz="0" w:space="0" w:color="auto"/>
        <w:bottom w:val="none" w:sz="0" w:space="0" w:color="auto"/>
        <w:right w:val="none" w:sz="0" w:space="0" w:color="auto"/>
      </w:divBdr>
    </w:div>
    <w:div w:id="578637856">
      <w:bodyDiv w:val="1"/>
      <w:marLeft w:val="0"/>
      <w:marRight w:val="0"/>
      <w:marTop w:val="0"/>
      <w:marBottom w:val="0"/>
      <w:divBdr>
        <w:top w:val="none" w:sz="0" w:space="0" w:color="auto"/>
        <w:left w:val="none" w:sz="0" w:space="0" w:color="auto"/>
        <w:bottom w:val="none" w:sz="0" w:space="0" w:color="auto"/>
        <w:right w:val="none" w:sz="0" w:space="0" w:color="auto"/>
      </w:divBdr>
    </w:div>
    <w:div w:id="757478446">
      <w:bodyDiv w:val="1"/>
      <w:marLeft w:val="0"/>
      <w:marRight w:val="0"/>
      <w:marTop w:val="0"/>
      <w:marBottom w:val="0"/>
      <w:divBdr>
        <w:top w:val="none" w:sz="0" w:space="0" w:color="auto"/>
        <w:left w:val="none" w:sz="0" w:space="0" w:color="auto"/>
        <w:bottom w:val="none" w:sz="0" w:space="0" w:color="auto"/>
        <w:right w:val="none" w:sz="0" w:space="0" w:color="auto"/>
      </w:divBdr>
    </w:div>
    <w:div w:id="1141196175">
      <w:bodyDiv w:val="1"/>
      <w:marLeft w:val="0"/>
      <w:marRight w:val="0"/>
      <w:marTop w:val="0"/>
      <w:marBottom w:val="0"/>
      <w:divBdr>
        <w:top w:val="none" w:sz="0" w:space="0" w:color="auto"/>
        <w:left w:val="none" w:sz="0" w:space="0" w:color="auto"/>
        <w:bottom w:val="none" w:sz="0" w:space="0" w:color="auto"/>
        <w:right w:val="none" w:sz="0" w:space="0" w:color="auto"/>
      </w:divBdr>
    </w:div>
    <w:div w:id="1219054114">
      <w:bodyDiv w:val="1"/>
      <w:marLeft w:val="0"/>
      <w:marRight w:val="0"/>
      <w:marTop w:val="0"/>
      <w:marBottom w:val="0"/>
      <w:divBdr>
        <w:top w:val="none" w:sz="0" w:space="0" w:color="auto"/>
        <w:left w:val="none" w:sz="0" w:space="0" w:color="auto"/>
        <w:bottom w:val="none" w:sz="0" w:space="0" w:color="auto"/>
        <w:right w:val="none" w:sz="0" w:space="0" w:color="auto"/>
      </w:divBdr>
    </w:div>
    <w:div w:id="1328292047">
      <w:bodyDiv w:val="1"/>
      <w:marLeft w:val="0"/>
      <w:marRight w:val="0"/>
      <w:marTop w:val="0"/>
      <w:marBottom w:val="0"/>
      <w:divBdr>
        <w:top w:val="none" w:sz="0" w:space="0" w:color="auto"/>
        <w:left w:val="none" w:sz="0" w:space="0" w:color="auto"/>
        <w:bottom w:val="none" w:sz="0" w:space="0" w:color="auto"/>
        <w:right w:val="none" w:sz="0" w:space="0" w:color="auto"/>
      </w:divBdr>
    </w:div>
    <w:div w:id="1566985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20@reckon.co.uk"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ck:Documents:Projects:Templates:Template%20alert%20electric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 alert electricity.dotx</Template>
  <TotalTime>112</TotalTime>
  <Pages>4</Pages>
  <Words>1392</Words>
  <Characters>7940</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20</cp:revision>
  <cp:lastPrinted>2014-06-04T03:29:00Z</cp:lastPrinted>
  <dcterms:created xsi:type="dcterms:W3CDTF">2014-10-05T23:10:00Z</dcterms:created>
  <dcterms:modified xsi:type="dcterms:W3CDTF">2014-10-06T11:46:00Z</dcterms:modified>
  <cp:category/>
</cp:coreProperties>
</file>